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7358E3" w:rsidR="006921C8" w:rsidP="006921C8" w:rsidRDefault="006921C8" w14:paraId="683CB9E5" w14:textId="32C2C45C">
      <w:r w:rsidRPr="007358E3">
        <w:t>FAQ:</w:t>
      </w:r>
      <w:r w:rsidRPr="007358E3" w:rsidR="005642F7">
        <w:t xml:space="preserve"> </w:t>
      </w:r>
      <w:proofErr w:type="spellStart"/>
      <w:r w:rsidRPr="007358E3" w:rsidR="007358E3">
        <w:t>Actinizyme</w:t>
      </w:r>
      <w:proofErr w:type="spellEnd"/>
    </w:p>
    <w:p w:rsidRPr="007358E3" w:rsidR="00EB745D" w:rsidP="00EB745D" w:rsidRDefault="00EB745D" w14:paraId="2A10A3A9" w14:textId="77777777">
      <w:pPr>
        <w:pStyle w:val="ListParagraph"/>
        <w:numPr>
          <w:ilvl w:val="0"/>
          <w:numId w:val="2"/>
        </w:numPr>
      </w:pPr>
      <w:r w:rsidRPr="007358E3">
        <w:t>What is it?</w:t>
      </w:r>
    </w:p>
    <w:p w:rsidRPr="007358E3" w:rsidR="00F3595C" w:rsidP="00F3595C" w:rsidRDefault="00F3595C" w14:paraId="5A8CA037" w14:textId="176BF4C0">
      <w:pPr>
        <w:pStyle w:val="ListParagraph"/>
        <w:numPr>
          <w:ilvl w:val="1"/>
          <w:numId w:val="2"/>
        </w:numPr>
      </w:pPr>
      <w:r w:rsidRPr="007358E3">
        <w:rPr>
          <w:rFonts w:ascii="Calibri" w:hAnsi="Calibri" w:cs="Calibri"/>
        </w:rPr>
        <w:t>Premium freeze-dried whole</w:t>
      </w:r>
      <w:r w:rsidRPr="007358E3" w:rsidR="007358E3">
        <w:rPr>
          <w:rFonts w:ascii="Calibri" w:hAnsi="Calibri" w:cs="Calibri"/>
        </w:rPr>
        <w:t xml:space="preserve"> green</w:t>
      </w:r>
      <w:r w:rsidRPr="007358E3">
        <w:rPr>
          <w:rFonts w:ascii="Calibri" w:hAnsi="Calibri" w:cs="Calibri"/>
        </w:rPr>
        <w:t xml:space="preserve"> kiwifruit powder </w:t>
      </w:r>
      <w:r w:rsidRPr="007358E3" w:rsidR="007358E3">
        <w:rPr>
          <w:rFonts w:ascii="Calibri" w:hAnsi="Calibri" w:cs="Calibri"/>
        </w:rPr>
        <w:t>standardised to exceptionally high actinidin activity (100,000 U/g) to enhance protein digestion</w:t>
      </w:r>
      <w:r w:rsidR="00747E27">
        <w:rPr>
          <w:rFonts w:ascii="Calibri" w:hAnsi="Calibri" w:cs="Calibri"/>
        </w:rPr>
        <w:t>,</w:t>
      </w:r>
      <w:r w:rsidRPr="007358E3" w:rsidR="007358E3">
        <w:rPr>
          <w:rFonts w:ascii="Calibri" w:hAnsi="Calibri" w:cs="Calibri"/>
        </w:rPr>
        <w:t xml:space="preserve"> optimise protein utilisation</w:t>
      </w:r>
      <w:r w:rsidR="00747E27">
        <w:rPr>
          <w:rFonts w:ascii="Calibri" w:hAnsi="Calibri" w:cs="Calibri"/>
        </w:rPr>
        <w:t xml:space="preserve">, and </w:t>
      </w:r>
      <w:r w:rsidRPr="001C0444" w:rsidR="00747E27">
        <w:rPr>
          <w:rFonts w:ascii="Calibri" w:hAnsi="Calibri" w:cs="Calibri"/>
        </w:rPr>
        <w:t xml:space="preserve">support </w:t>
      </w:r>
      <w:r w:rsidRPr="001C0444" w:rsidR="001C0444">
        <w:rPr>
          <w:rFonts w:ascii="Calibri" w:hAnsi="Calibri" w:cs="Calibri"/>
        </w:rPr>
        <w:t>muscle health.</w:t>
      </w:r>
    </w:p>
    <w:p w:rsidRPr="007358E3" w:rsidR="00442F05" w:rsidP="00442F05" w:rsidRDefault="00442F05" w14:paraId="0D1D918E" w14:textId="77777777">
      <w:pPr>
        <w:pStyle w:val="ListParagraph"/>
        <w:numPr>
          <w:ilvl w:val="0"/>
          <w:numId w:val="2"/>
        </w:numPr>
      </w:pPr>
      <w:r w:rsidRPr="007358E3">
        <w:t>What is the dosage?</w:t>
      </w:r>
    </w:p>
    <w:p w:rsidR="007358E3" w:rsidP="049798D9" w:rsidRDefault="007358E3" w14:paraId="13C28EDD" w14:textId="1D0FAAEC">
      <w:pPr>
        <w:pStyle w:val="ListParagraph"/>
        <w:numPr>
          <w:ilvl w:val="1"/>
          <w:numId w:val="2"/>
        </w:numPr>
        <w:rPr/>
      </w:pPr>
      <w:r w:rsidRPr="0CF9F517" w:rsidR="007358E3">
        <w:rPr>
          <w:rFonts w:ascii="Calibri" w:hAnsi="Calibri" w:cs="Calibri"/>
        </w:rPr>
        <w:t>200</w:t>
      </w:r>
      <w:r w:rsidRPr="0CF9F517" w:rsidR="00EB745D">
        <w:rPr>
          <w:rFonts w:ascii="Calibri" w:hAnsi="Calibri" w:cs="Calibri"/>
        </w:rPr>
        <w:t xml:space="preserve"> mg</w:t>
      </w:r>
      <w:r w:rsidRPr="0CF9F517" w:rsidR="007358E3">
        <w:rPr>
          <w:rFonts w:ascii="Calibri" w:hAnsi="Calibri" w:cs="Calibri"/>
        </w:rPr>
        <w:t xml:space="preserve"> </w:t>
      </w:r>
      <w:r w:rsidRPr="0CF9F517" w:rsidR="00EB745D">
        <w:rPr>
          <w:rFonts w:ascii="Calibri" w:hAnsi="Calibri" w:cs="Calibri"/>
        </w:rPr>
        <w:t>/</w:t>
      </w:r>
      <w:r w:rsidRPr="0CF9F517" w:rsidR="007358E3">
        <w:rPr>
          <w:rFonts w:ascii="Calibri" w:hAnsi="Calibri" w:cs="Calibri"/>
        </w:rPr>
        <w:t xml:space="preserve"> </w:t>
      </w:r>
      <w:r w:rsidRPr="0CF9F517" w:rsidR="006048DE">
        <w:rPr>
          <w:rFonts w:ascii="Calibri" w:hAnsi="Calibri" w:cs="Calibri"/>
        </w:rPr>
        <w:t>20-</w:t>
      </w:r>
      <w:r w:rsidRPr="0CF9F517" w:rsidR="007358E3">
        <w:rPr>
          <w:rFonts w:ascii="Calibri" w:hAnsi="Calibri" w:cs="Calibri"/>
        </w:rPr>
        <w:t>30g protein</w:t>
      </w:r>
      <w:r w:rsidR="005642F7">
        <w:rPr/>
        <w:t xml:space="preserve"> </w:t>
      </w:r>
    </w:p>
    <w:p w:rsidRPr="007358E3" w:rsidR="00EB745D" w:rsidP="00EB745D" w:rsidRDefault="00EB745D" w14:paraId="1FA5DDDE" w14:textId="77777777">
      <w:pPr>
        <w:pStyle w:val="ListParagraph"/>
        <w:numPr>
          <w:ilvl w:val="0"/>
          <w:numId w:val="2"/>
        </w:numPr>
      </w:pPr>
      <w:r w:rsidRPr="007358E3">
        <w:t>Where are the ingredients sourced?</w:t>
      </w:r>
    </w:p>
    <w:p w:rsidRPr="007358E3" w:rsidR="007358E3" w:rsidP="007358E3" w:rsidRDefault="007358E3" w14:paraId="15F59ED2" w14:textId="77777777">
      <w:pPr>
        <w:pStyle w:val="ListParagraph"/>
        <w:numPr>
          <w:ilvl w:val="1"/>
          <w:numId w:val="2"/>
        </w:numPr>
        <w:spacing w:line="278" w:lineRule="auto"/>
        <w:rPr>
          <w:rFonts w:ascii="Calibri" w:hAnsi="Calibri" w:cs="Calibri"/>
        </w:rPr>
      </w:pPr>
      <w:r w:rsidRPr="049798D9" w:rsidR="007358E3">
        <w:rPr>
          <w:rFonts w:ascii="Calibri" w:hAnsi="Calibri" w:cs="Calibri"/>
        </w:rPr>
        <w:t>100% New Zealand-grown green kiwifruit (Actinidia chinensis var. deliciosa (‘Hayward’)) from Zespri-approved packers/orchards</w:t>
      </w:r>
    </w:p>
    <w:p w:rsidR="56A4E9E8" w:rsidP="049798D9" w:rsidRDefault="56A4E9E8" w14:paraId="74D92EDA" w14:textId="59211A66">
      <w:pPr>
        <w:pStyle w:val="ListParagraph"/>
        <w:numPr>
          <w:ilvl w:val="0"/>
          <w:numId w:val="2"/>
        </w:numPr>
        <w:spacing w:line="278" w:lineRule="auto"/>
        <w:rPr>
          <w:rFonts w:ascii="Calibri" w:hAnsi="Calibri" w:cs="Calibri"/>
        </w:rPr>
      </w:pPr>
      <w:r w:rsidRPr="049798D9" w:rsidR="56A4E9E8">
        <w:rPr>
          <w:rFonts w:ascii="Calibri" w:hAnsi="Calibri" w:cs="Calibri"/>
        </w:rPr>
        <w:t>What makes New Zealand kiwifruit unique?</w:t>
      </w:r>
    </w:p>
    <w:p w:rsidR="56A4E9E8" w:rsidP="049798D9" w:rsidRDefault="56A4E9E8" w14:paraId="789D060D" w14:textId="4F809061">
      <w:pPr>
        <w:pStyle w:val="ListParagraph"/>
        <w:numPr>
          <w:ilvl w:val="1"/>
          <w:numId w:val="2"/>
        </w:numPr>
        <w:spacing w:before="240" w:beforeAutospacing="off" w:after="240" w:afterAutospacing="off"/>
        <w:rPr>
          <w:noProof w:val="0"/>
          <w:lang w:val="en-NZ"/>
        </w:rPr>
      </w:pPr>
      <w:r w:rsidRPr="049798D9" w:rsidR="56A4E9E8">
        <w:rPr>
          <w:noProof w:val="0"/>
          <w:lang w:val="en-NZ"/>
        </w:rPr>
        <w:t xml:space="preserve">New Zealand kiwifruit is grown under a combination of environmental and agricultural conditions that support high-quality fruit production. High UV levels and strong sunlight exposure stimulate the production of polyphenols and antioxidants (NZ vs China/EU kiwifruit). Key growing regions, such as Bay of Plenty, have volcanic-derived soils that are well-draining, supporting root health and efficient nutrient uptake. In addition, New Zealand’s temperate climate supports steady fruit development and the accumulation of sugars and plant </w:t>
      </w:r>
      <w:r w:rsidRPr="049798D9" w:rsidR="56A4E9E8">
        <w:rPr>
          <w:noProof w:val="0"/>
          <w:lang w:val="en-NZ"/>
        </w:rPr>
        <w:t>bioactives</w:t>
      </w:r>
      <w:r w:rsidRPr="049798D9" w:rsidR="56A4E9E8">
        <w:rPr>
          <w:noProof w:val="0"/>
          <w:lang w:val="en-NZ"/>
        </w:rPr>
        <w:t xml:space="preserve">. </w:t>
      </w:r>
      <w:r w:rsidRPr="049798D9" w:rsidR="56A4E9E8">
        <w:rPr>
          <w:noProof w:val="0"/>
          <w:lang w:val="en-NZ"/>
        </w:rPr>
        <w:t>Laslty</w:t>
      </w:r>
      <w:r w:rsidRPr="049798D9" w:rsidR="0CD7B239">
        <w:rPr>
          <w:noProof w:val="0"/>
          <w:lang w:val="en-NZ"/>
        </w:rPr>
        <w:t>, f</w:t>
      </w:r>
      <w:r w:rsidRPr="049798D9" w:rsidR="56A4E9E8">
        <w:rPr>
          <w:noProof w:val="0"/>
          <w:lang w:val="en-NZ"/>
        </w:rPr>
        <w:t xml:space="preserve">ruit is sourced from Zespri-approved orchards, with strong investment in cultivar </w:t>
      </w:r>
      <w:r w:rsidRPr="049798D9" w:rsidR="56A4E9E8">
        <w:rPr>
          <w:noProof w:val="0"/>
          <w:lang w:val="en-NZ"/>
        </w:rPr>
        <w:t>selection</w:t>
      </w:r>
      <w:r w:rsidRPr="049798D9" w:rsidR="56A4E9E8">
        <w:rPr>
          <w:noProof w:val="0"/>
          <w:lang w:val="en-NZ"/>
        </w:rPr>
        <w:t xml:space="preserve"> to ensure consistent quality.</w:t>
      </w:r>
    </w:p>
    <w:p w:rsidR="514AC050" w:rsidP="049798D9" w:rsidRDefault="514AC050" w14:paraId="7A74C60F" w14:textId="3FAA0545">
      <w:pPr>
        <w:pStyle w:val="ListParagraph"/>
        <w:numPr>
          <w:ilvl w:val="1"/>
          <w:numId w:val="2"/>
        </w:numPr>
        <w:spacing w:before="240" w:beforeAutospacing="off" w:after="240" w:afterAutospacing="off"/>
        <w:rPr/>
      </w:pPr>
      <w:r w:rsidR="514AC050">
        <w:drawing>
          <wp:inline wp14:editId="3C1D1E8D" wp14:anchorId="41ACE625">
            <wp:extent cx="3943900" cy="1744269"/>
            <wp:effectExtent l="0" t="0" r="0" b="0"/>
            <wp:docPr id="45488709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54887093" name="Picture 454887093"/>
                    <pic:cNvPicPr/>
                  </pic:nvPicPr>
                  <pic:blipFill>
                    <a:blip xmlns:r="http://schemas.openxmlformats.org/officeDocument/2006/relationships" r:embed="rId438535153">
                      <a:extLst>
                        <a:ext uri="{28A0092B-C50C-407E-A947-70E740481C1C}">
                          <a14:useLocalDpi xmlns:a14="http://schemas.microsoft.com/office/drawing/2010/main"/>
                        </a:ext>
                      </a:extLst>
                    </a:blip>
                    <a:stretch>
                      <a:fillRect/>
                    </a:stretch>
                  </pic:blipFill>
                  <pic:spPr>
                    <a:xfrm rot="0">
                      <a:off x="0" y="0"/>
                      <a:ext cx="3943900" cy="1744269"/>
                    </a:xfrm>
                    <a:prstGeom prst="rect">
                      <a:avLst/>
                    </a:prstGeom>
                  </pic:spPr>
                </pic:pic>
              </a:graphicData>
            </a:graphic>
          </wp:inline>
        </w:drawing>
      </w:r>
    </w:p>
    <w:p w:rsidRPr="007358E3" w:rsidR="00BE75AC" w:rsidP="00BE75AC" w:rsidRDefault="006D444D" w14:paraId="3D07F0CF" w14:textId="256B06EE">
      <w:pPr>
        <w:pStyle w:val="ListParagraph"/>
        <w:numPr>
          <w:ilvl w:val="0"/>
          <w:numId w:val="2"/>
        </w:numPr>
        <w:spacing w:line="278" w:lineRule="auto"/>
        <w:rPr>
          <w:rFonts w:ascii="Calibri" w:hAnsi="Calibri" w:cs="Calibri"/>
        </w:rPr>
      </w:pPr>
      <w:r w:rsidRPr="007358E3">
        <w:rPr>
          <w:rFonts w:ascii="Calibri" w:hAnsi="Calibri" w:cs="Calibri"/>
        </w:rPr>
        <w:t xml:space="preserve">Do you use the whole fruit? </w:t>
      </w:r>
      <w:r w:rsidRPr="007358E3" w:rsidR="00BE75AC">
        <w:rPr>
          <w:rFonts w:ascii="Calibri" w:hAnsi="Calibri" w:cs="Calibri"/>
        </w:rPr>
        <w:t xml:space="preserve">Why not also use skin and seeds? </w:t>
      </w:r>
    </w:p>
    <w:p w:rsidRPr="007358E3" w:rsidR="00BE75AC" w:rsidP="00F3595C" w:rsidRDefault="006D444D" w14:paraId="1880202B" w14:textId="1FFEBACA">
      <w:pPr>
        <w:pStyle w:val="ListParagraph"/>
        <w:numPr>
          <w:ilvl w:val="1"/>
          <w:numId w:val="2"/>
        </w:numPr>
        <w:spacing w:line="278" w:lineRule="auto"/>
        <w:rPr>
          <w:rFonts w:ascii="Calibri" w:hAnsi="Calibri" w:cs="Calibri"/>
        </w:rPr>
      </w:pPr>
      <w:r w:rsidRPr="007358E3">
        <w:rPr>
          <w:rFonts w:ascii="Calibri" w:hAnsi="Calibri" w:cs="Calibri"/>
        </w:rPr>
        <w:t xml:space="preserve">No, we only use the flesh. </w:t>
      </w:r>
      <w:r w:rsidRPr="007358E3" w:rsidR="00BE75AC">
        <w:rPr>
          <w:rFonts w:ascii="Calibri" w:hAnsi="Calibri" w:cs="Calibri"/>
        </w:rPr>
        <w:t>The skin contains oxalates that may reduce mineral absorption while the seeds contain lipids that are susceptible to oxidation and may affect product stability.</w:t>
      </w:r>
      <w:r w:rsidRPr="007358E3" w:rsidR="00A30F9C">
        <w:rPr>
          <w:rFonts w:ascii="Calibri" w:hAnsi="Calibri" w:cs="Calibri"/>
        </w:rPr>
        <w:t xml:space="preserve"> Using only the flesh also helps ensure consistent composition and quality.</w:t>
      </w:r>
    </w:p>
    <w:p w:rsidRPr="007358E3" w:rsidR="00A70549" w:rsidP="00442F05" w:rsidRDefault="00442F05" w14:paraId="2CB4C514" w14:textId="7203A894">
      <w:pPr>
        <w:pStyle w:val="ListParagraph"/>
        <w:numPr>
          <w:ilvl w:val="0"/>
          <w:numId w:val="2"/>
        </w:numPr>
      </w:pPr>
      <w:r w:rsidRPr="007358E3">
        <w:t>What is your key bioactive?</w:t>
      </w:r>
      <w:r w:rsidRPr="007358E3" w:rsidR="005642F7">
        <w:t xml:space="preserve"> And is it standardized? </w:t>
      </w:r>
    </w:p>
    <w:p w:rsidRPr="007358E3" w:rsidR="007358E3" w:rsidP="007358E3" w:rsidRDefault="00442F05" w14:paraId="7008AA47" w14:textId="290E1B40">
      <w:pPr>
        <w:pStyle w:val="ListParagraph"/>
        <w:numPr>
          <w:ilvl w:val="1"/>
          <w:numId w:val="2"/>
        </w:numPr>
      </w:pPr>
      <w:r w:rsidRPr="007358E3">
        <w:t xml:space="preserve">The key </w:t>
      </w:r>
      <w:r w:rsidRPr="007358E3" w:rsidR="002B671C">
        <w:t>bioactiv</w:t>
      </w:r>
      <w:r w:rsidRPr="007358E3" w:rsidR="006D444D">
        <w:t xml:space="preserve">e is </w:t>
      </w:r>
      <w:r w:rsidRPr="007358E3" w:rsidR="007358E3">
        <w:t>actinidin which is standardized to &gt; 100,000 AU/g (every batch)</w:t>
      </w:r>
    </w:p>
    <w:p w:rsidRPr="003B484A" w:rsidR="00A70549" w:rsidP="007358E3" w:rsidRDefault="00442F05" w14:paraId="4191B3DE" w14:textId="17D32679">
      <w:pPr>
        <w:pStyle w:val="ListParagraph"/>
        <w:numPr>
          <w:ilvl w:val="0"/>
          <w:numId w:val="2"/>
        </w:numPr>
      </w:pPr>
      <w:r w:rsidRPr="003B484A">
        <w:t>What evidence do you have that it works?</w:t>
      </w:r>
    </w:p>
    <w:p w:rsidR="003B484A" w:rsidP="00175DF6" w:rsidRDefault="003B484A" w14:paraId="00AA95F2" w14:textId="18C025AF">
      <w:pPr>
        <w:pStyle w:val="ListParagraph"/>
        <w:numPr>
          <w:ilvl w:val="1"/>
          <w:numId w:val="2"/>
        </w:numPr>
        <w:rPr/>
      </w:pPr>
      <w:r w:rsidR="003B484A">
        <w:rPr/>
        <w:t>Actinizyme</w:t>
      </w:r>
      <w:r w:rsidR="003B484A">
        <w:rPr/>
        <w:t xml:space="preserve"> is supported by published in vitro and animal studies showing that actinidin enhances protein digestion</w:t>
      </w:r>
      <w:r w:rsidR="003B484A">
        <w:rPr/>
        <w:t xml:space="preserve">, supports </w:t>
      </w:r>
      <w:r w:rsidR="003B484A">
        <w:rPr/>
        <w:t xml:space="preserve">faster gastric emptying and </w:t>
      </w:r>
      <w:r w:rsidR="00775678">
        <w:rPr/>
        <w:t xml:space="preserve">speeds up </w:t>
      </w:r>
      <w:r w:rsidR="00775678">
        <w:rPr/>
        <w:t xml:space="preserve">amino acid </w:t>
      </w:r>
      <w:r w:rsidR="00775678">
        <w:rPr/>
        <w:t>availability</w:t>
      </w:r>
      <w:r w:rsidR="01388B93">
        <w:rPr/>
        <w:t xml:space="preserve"> </w:t>
      </w:r>
      <w:commentRangeStart w:id="0"/>
      <w:commentRangeEnd w:id="0"/>
      <w:r>
        <w:rPr>
          <w:rStyle w:val="CommentReference"/>
        </w:rPr>
        <w:commentReference w:id="0"/>
      </w:r>
      <w:r w:rsidR="003B484A">
        <w:rPr/>
        <w:t>in</w:t>
      </w:r>
      <w:r w:rsidR="003B484A">
        <w:rPr/>
        <w:t xml:space="preserve"> validated models of human digestion.</w:t>
      </w:r>
    </w:p>
    <w:p w:rsidR="003B484A" w:rsidP="003B484A" w:rsidRDefault="003B484A" w14:paraId="7103FB4B" w14:textId="62FDFC68">
      <w:pPr>
        <w:pStyle w:val="ListParagraph"/>
        <w:numPr>
          <w:ilvl w:val="1"/>
          <w:numId w:val="2"/>
        </w:numPr>
      </w:pPr>
      <w:r w:rsidRPr="003B484A">
        <w:t xml:space="preserve">User testing in the UK showed that regular plant protein supplement users (pea, soy) </w:t>
      </w:r>
      <w:r>
        <w:t xml:space="preserve">who </w:t>
      </w:r>
      <w:r w:rsidRPr="003B484A">
        <w:t xml:space="preserve">took </w:t>
      </w:r>
      <w:proofErr w:type="spellStart"/>
      <w:r w:rsidRPr="003B484A">
        <w:t>Actinizyme</w:t>
      </w:r>
      <w:proofErr w:type="spellEnd"/>
      <w:r w:rsidRPr="003B484A">
        <w:t xml:space="preserve"> daily for 2 weeks</w:t>
      </w:r>
      <w:r>
        <w:t xml:space="preserve"> had reduced b</w:t>
      </w:r>
      <w:r w:rsidRPr="003B484A">
        <w:t>loating and gas by up to 37%, abdominal pain by 34%, and reflux by 29%.</w:t>
      </w:r>
    </w:p>
    <w:p w:rsidRPr="007358E3" w:rsidR="00227433" w:rsidP="006D444D" w:rsidRDefault="00227433" w14:paraId="01BBF21F" w14:textId="45DAABF7">
      <w:pPr>
        <w:pStyle w:val="ListParagraph"/>
        <w:numPr>
          <w:ilvl w:val="0"/>
          <w:numId w:val="2"/>
        </w:numPr>
      </w:pPr>
      <w:r w:rsidRPr="007358E3">
        <w:t xml:space="preserve">What are the key </w:t>
      </w:r>
      <w:r w:rsidR="001C0444">
        <w:t>benefits</w:t>
      </w:r>
      <w:r w:rsidRPr="007358E3">
        <w:t xml:space="preserve">? </w:t>
      </w:r>
    </w:p>
    <w:p w:rsidR="00775678" w:rsidP="00775678" w:rsidRDefault="00775678" w14:paraId="5CD40195" w14:textId="62E25194">
      <w:pPr>
        <w:pStyle w:val="ListParagraph"/>
        <w:numPr>
          <w:ilvl w:val="1"/>
          <w:numId w:val="2"/>
        </w:numPr>
        <w:rPr/>
      </w:pPr>
      <w:r w:rsidR="57ED36A3">
        <w:rPr/>
        <w:t>Supports faster amino acid availability</w:t>
      </w:r>
      <w:r w:rsidRPr="0CF9F517" w:rsidR="57ED36A3">
        <w:rPr>
          <w:rFonts w:ascii="Times New Roman" w:hAnsi="Times New Roman" w:eastAsia="Times New Roman" w:cs="Times New Roman"/>
          <w:sz w:val="24"/>
          <w:szCs w:val="24"/>
          <w:lang w:eastAsia="zh-CN"/>
        </w:rPr>
        <w:t xml:space="preserve">: </w:t>
      </w:r>
      <w:r w:rsidR="57ED36A3">
        <w:rPr/>
        <w:t xml:space="preserve">Actinizyme accelerates </w:t>
      </w:r>
      <w:r w:rsidRPr="0CF9F517" w:rsidR="57ED36A3">
        <w:rPr>
          <w:noProof w:val="0"/>
          <w:lang w:val="en-NZ"/>
        </w:rPr>
        <w:t xml:space="preserve">the appearance of BCAAs and leucine in the bloodstream, key essential amino acids </w:t>
      </w:r>
      <w:r w:rsidRPr="0CF9F517" w:rsidR="1555AE27">
        <w:rPr>
          <w:noProof w:val="0"/>
          <w:lang w:val="en-NZ"/>
        </w:rPr>
        <w:t>needed</w:t>
      </w:r>
      <w:r w:rsidRPr="0CF9F517" w:rsidR="57ED36A3">
        <w:rPr>
          <w:noProof w:val="0"/>
          <w:lang w:val="en-NZ"/>
        </w:rPr>
        <w:t xml:space="preserve"> to </w:t>
      </w:r>
      <w:r w:rsidR="57ED36A3">
        <w:rPr/>
        <w:t xml:space="preserve">trigger muscle protein synthesis. </w:t>
      </w:r>
    </w:p>
    <w:p w:rsidR="00775678" w:rsidP="0CF9F517" w:rsidRDefault="00775678" w14:paraId="2D26C54D" w14:textId="5013A38D">
      <w:pPr>
        <w:pStyle w:val="ListParagraph"/>
        <w:numPr>
          <w:ilvl w:val="1"/>
          <w:numId w:val="2"/>
        </w:numPr>
        <w:rPr>
          <w:noProof w:val="0"/>
          <w:lang w:val="en-NZ"/>
        </w:rPr>
      </w:pPr>
      <w:r w:rsidR="00775678">
        <w:rPr/>
        <w:t xml:space="preserve">Supports protein digestion: </w:t>
      </w:r>
      <w:r w:rsidR="00775678">
        <w:rPr/>
        <w:t>Actinizyme</w:t>
      </w:r>
      <w:r w:rsidR="00775678">
        <w:rPr/>
        <w:t xml:space="preserve"> enhances gastric protein breakdown</w:t>
      </w:r>
      <w:r w:rsidR="34D34654">
        <w:rPr/>
        <w:t xml:space="preserve"> better than </w:t>
      </w:r>
      <w:r w:rsidRPr="0CF9F517" w:rsidR="34D34654">
        <w:rPr>
          <w:noProof w:val="0"/>
          <w:lang w:val="en-NZ"/>
        </w:rPr>
        <w:t>the stomach's own enzymes alone</w:t>
      </w:r>
      <w:r w:rsidR="00775678">
        <w:rPr/>
        <w:t>, particularly for harder-to-digest proteins such as plant proteins.</w:t>
      </w:r>
      <w:r w:rsidR="126A41C4">
        <w:rPr/>
        <w:t xml:space="preserve"> Actinidin has also been shown to enhance the breakdown of plant proteins, releasing up to ~6× more amino acids during early digestion (e.g. pea, soy, quinoa, almond). </w:t>
      </w:r>
    </w:p>
    <w:p w:rsidR="00775678" w:rsidP="00B142ED" w:rsidRDefault="00775678" w14:paraId="1D11FE77" w14:textId="16DBE43F">
      <w:pPr>
        <w:pStyle w:val="ListParagraph"/>
        <w:numPr>
          <w:ilvl w:val="1"/>
          <w:numId w:val="2"/>
        </w:numPr>
        <w:rPr/>
      </w:pPr>
      <w:r w:rsidR="00775678">
        <w:rPr/>
        <w:t xml:space="preserve">Improves digestive comfort: </w:t>
      </w:r>
      <w:r w:rsidR="00775678">
        <w:rPr/>
        <w:t>A</w:t>
      </w:r>
      <w:r w:rsidR="00775678">
        <w:rPr/>
        <w:t xml:space="preserve">ctinidin </w:t>
      </w:r>
      <w:r w:rsidRPr="0CF9F517" w:rsidR="4BF72D56">
        <w:rPr>
          <w:noProof w:val="0"/>
          <w:lang w:val="en-NZ"/>
        </w:rPr>
        <w:t xml:space="preserve">provides 2-in-1 digestive support (stomach and intestines) where most other proteases </w:t>
      </w:r>
      <w:r w:rsidRPr="0CF9F517" w:rsidR="4BF72D56">
        <w:rPr>
          <w:noProof w:val="0"/>
          <w:lang w:val="en-NZ"/>
        </w:rPr>
        <w:t>can’t</w:t>
      </w:r>
      <w:r w:rsidRPr="0CF9F517" w:rsidR="4BF72D56">
        <w:rPr>
          <w:noProof w:val="0"/>
          <w:lang w:val="en-NZ"/>
        </w:rPr>
        <w:t xml:space="preserve">, helping to reduce post-meal bloating and discomfort </w:t>
      </w:r>
    </w:p>
    <w:p w:rsidR="001C0444" w:rsidP="000B6223" w:rsidRDefault="00B4681A" w14:paraId="5B7647F1" w14:textId="77777777">
      <w:pPr>
        <w:pStyle w:val="ListParagraph"/>
        <w:numPr>
          <w:ilvl w:val="0"/>
          <w:numId w:val="2"/>
        </w:numPr>
      </w:pPr>
      <w:r>
        <w:t>What proteins does it work on?</w:t>
      </w:r>
      <w:r w:rsidR="00622941">
        <w:t xml:space="preserve"> </w:t>
      </w:r>
    </w:p>
    <w:p w:rsidR="00CC11BF" w:rsidP="001C0444" w:rsidRDefault="001C0444" w14:paraId="509BACC9" w14:textId="1EAFF55A">
      <w:pPr>
        <w:pStyle w:val="ListParagraph"/>
        <w:numPr>
          <w:ilvl w:val="1"/>
          <w:numId w:val="2"/>
        </w:numPr>
      </w:pPr>
      <w:r>
        <w:t>P</w:t>
      </w:r>
      <w:r w:rsidR="00622941">
        <w:t xml:space="preserve">lant proteins like pea, </w:t>
      </w:r>
      <w:r>
        <w:t>soy,</w:t>
      </w:r>
      <w:r w:rsidR="00622941">
        <w:t xml:space="preserve"> tofu, almond and gluten, dairy proteins, meat, collagen/</w:t>
      </w:r>
      <w:r>
        <w:t>gelatine</w:t>
      </w:r>
      <w:r w:rsidR="003B484A">
        <w:t xml:space="preserve"> </w:t>
      </w:r>
    </w:p>
    <w:p w:rsidRPr="00622941" w:rsidR="000B6223" w:rsidP="000B6223" w:rsidRDefault="000B6223" w14:paraId="399919F9" w14:textId="44C91FE3">
      <w:pPr>
        <w:pStyle w:val="ListParagraph"/>
        <w:numPr>
          <w:ilvl w:val="0"/>
          <w:numId w:val="2"/>
        </w:numPr>
      </w:pPr>
      <w:r w:rsidRPr="00622941">
        <w:t>How does it work</w:t>
      </w:r>
      <w:r w:rsidR="003B484A">
        <w:t>?</w:t>
      </w:r>
    </w:p>
    <w:p w:rsidR="00775678" w:rsidP="00775678" w:rsidRDefault="00775678" w14:paraId="032740E1" w14:textId="77777777">
      <w:pPr>
        <w:pStyle w:val="ListParagraph"/>
        <w:numPr>
          <w:ilvl w:val="1"/>
          <w:numId w:val="2"/>
        </w:numPr>
        <w:spacing w:line="256" w:lineRule="auto"/>
      </w:pPr>
      <w:r>
        <w:lastRenderedPageBreak/>
        <w:t>Enhances gastric protein digestion: Actinidin acts in the stomach to break proteins down into smaller peptides more efficiently, including plant proteins that are more resistant to digestion, improving early-stage digestion.</w:t>
      </w:r>
    </w:p>
    <w:p w:rsidR="00775678" w:rsidP="00775678" w:rsidRDefault="00775678" w14:paraId="13F0A838" w14:textId="77777777">
      <w:pPr>
        <w:pStyle w:val="ListParagraph"/>
        <w:numPr>
          <w:ilvl w:val="1"/>
          <w:numId w:val="2"/>
        </w:numPr>
        <w:spacing w:line="256" w:lineRule="auto"/>
      </w:pPr>
      <w:r>
        <w:t>Supports faster gastric processing: By accelerating protein breakdown, actinidin reduces gastric load and supports faster gastric emptying, enabling nutrients to progress through the digestive system more efficiently.</w:t>
      </w:r>
    </w:p>
    <w:p w:rsidR="00775678" w:rsidP="00775678" w:rsidRDefault="00775678" w14:paraId="127233D5" w14:textId="01CD51A7">
      <w:pPr>
        <w:pStyle w:val="ListParagraph"/>
        <w:numPr>
          <w:ilvl w:val="1"/>
          <w:numId w:val="2"/>
        </w:numPr>
        <w:spacing w:line="256" w:lineRule="auto"/>
        <w:rPr/>
      </w:pPr>
      <w:r w:rsidR="00775678">
        <w:rPr/>
        <w:t>Delivers amino acids earlier: Actinidin increases the amount of digested protein entering the small intestine and shifts amino acid absorption earlier in the digestive tract. This results in faster availability of key amino acids, including BCAAs such as leucine and isoleucine</w:t>
      </w:r>
      <w:r w:rsidR="2A29863F">
        <w:rPr/>
        <w:t>, needed for repairing and building muscles</w:t>
      </w:r>
      <w:r w:rsidR="00775678">
        <w:rPr/>
        <w:t>.</w:t>
      </w:r>
    </w:p>
    <w:p w:rsidRPr="00622941" w:rsidR="00CC11BF" w:rsidP="00CC11BF" w:rsidRDefault="00CC11BF" w14:paraId="1ACA93F4" w14:textId="25E2F210">
      <w:pPr>
        <w:pStyle w:val="ListParagraph"/>
        <w:numPr>
          <w:ilvl w:val="0"/>
          <w:numId w:val="2"/>
        </w:numPr>
        <w:spacing w:line="256" w:lineRule="auto"/>
      </w:pPr>
      <w:r w:rsidRPr="00622941">
        <w:t>How does it compare to other digestive enzyme aids?</w:t>
      </w:r>
    </w:p>
    <w:p w:rsidR="00B4681A" w:rsidP="00B4681A" w:rsidRDefault="1A4682A8" w14:paraId="38863171" w14:textId="21C3074A">
      <w:pPr>
        <w:pStyle w:val="ListParagraph"/>
        <w:numPr>
          <w:ilvl w:val="1"/>
          <w:numId w:val="2"/>
        </w:numPr>
        <w:spacing w:line="256" w:lineRule="auto"/>
      </w:pPr>
      <w:r>
        <w:t xml:space="preserve">Same protease family as papain and bromelain, but actinidin remains active across a broader pH range, which means it can support protein breakdown across different stages of digestion, </w:t>
      </w:r>
      <w:r>
        <w:t xml:space="preserve">unlike </w:t>
      </w:r>
      <w:commentRangeStart w:id="1"/>
      <w:r>
        <w:t xml:space="preserve">papain which </w:t>
      </w:r>
      <w:r w:rsidR="67F481ED">
        <w:t>is</w:t>
      </w:r>
      <w:r w:rsidR="55BB7288">
        <w:t xml:space="preserve"> less active in the low pH of the stomach</w:t>
      </w:r>
      <w:r>
        <w:t>.</w:t>
      </w:r>
      <w:commentRangeEnd w:id="1"/>
      <w:r w:rsidR="00B4681A">
        <w:rPr>
          <w:rStyle w:val="CommentReference"/>
        </w:rPr>
        <w:commentReference w:id="1"/>
      </w:r>
    </w:p>
    <w:p w:rsidR="00B4681A" w:rsidP="00B4681A" w:rsidRDefault="00B4681A" w14:paraId="0A2DB11F" w14:textId="3845EC29">
      <w:pPr>
        <w:pStyle w:val="ListParagraph"/>
        <w:numPr>
          <w:ilvl w:val="1"/>
          <w:numId w:val="2"/>
        </w:numPr>
        <w:spacing w:line="278" w:lineRule="auto"/>
      </w:pPr>
      <w:r>
        <w:t xml:space="preserve">Other enzymes are isolates whereas </w:t>
      </w:r>
      <w:proofErr w:type="spellStart"/>
      <w:r>
        <w:t>Actinizyme</w:t>
      </w:r>
      <w:proofErr w:type="spellEnd"/>
      <w:r>
        <w:t xml:space="preserve"> not only provides protein digestion support but also provides fibre, vitamins and polyphenols from kiwifruit. </w:t>
      </w:r>
      <w:r w:rsidRPr="007358E3">
        <w:t>Vitamin C</w:t>
      </w:r>
      <w:r>
        <w:t xml:space="preserve"> and p</w:t>
      </w:r>
      <w:r w:rsidRPr="007358E3">
        <w:t>olyphenols</w:t>
      </w:r>
      <w:r>
        <w:t xml:space="preserve"> are natural antioxidants that support the enzymatic activity of actinidin. </w:t>
      </w:r>
    </w:p>
    <w:p w:rsidR="003B484A" w:rsidP="00B4681A" w:rsidRDefault="003B484A" w14:paraId="01E09F96" w14:textId="555FCE20">
      <w:pPr>
        <w:pStyle w:val="ListParagraph"/>
        <w:numPr>
          <w:ilvl w:val="1"/>
          <w:numId w:val="2"/>
        </w:numPr>
        <w:spacing w:line="278" w:lineRule="auto"/>
      </w:pPr>
      <w:r>
        <w:t xml:space="preserve">(If asked) </w:t>
      </w:r>
      <w:r w:rsidRPr="003B484A">
        <w:t>Enzyme blends can provide broader digestive support but need to be carefully formulated to ensure optimal activity and compatibility between enzymes.</w:t>
      </w:r>
    </w:p>
    <w:p w:rsidRPr="007358E3" w:rsidR="009B7877" w:rsidP="009B7877" w:rsidRDefault="009B7877" w14:paraId="4BC02C96" w14:textId="77777777">
      <w:pPr>
        <w:pStyle w:val="ListParagraph"/>
        <w:numPr>
          <w:ilvl w:val="0"/>
          <w:numId w:val="2"/>
        </w:numPr>
      </w:pPr>
      <w:r w:rsidRPr="007358E3">
        <w:t>Do you have safety evidence?</w:t>
      </w:r>
    </w:p>
    <w:p w:rsidRPr="007358E3" w:rsidR="009B7877" w:rsidP="009B7877" w:rsidRDefault="009B7877" w14:paraId="267B4DC9" w14:textId="77777777">
      <w:pPr>
        <w:pStyle w:val="ListParagraph"/>
        <w:numPr>
          <w:ilvl w:val="1"/>
          <w:numId w:val="2"/>
        </w:numPr>
      </w:pPr>
      <w:r w:rsidRPr="007358E3">
        <w:t xml:space="preserve">Safe for children, pregnancy, and elderly </w:t>
      </w:r>
    </w:p>
    <w:p w:rsidRPr="007358E3" w:rsidR="009B7877" w:rsidP="009B7877" w:rsidRDefault="009B7877" w14:paraId="6363E2F2" w14:textId="77777777">
      <w:pPr>
        <w:pStyle w:val="ListParagraph"/>
        <w:numPr>
          <w:ilvl w:val="1"/>
          <w:numId w:val="2"/>
        </w:numPr>
      </w:pPr>
      <w:r w:rsidRPr="007358E3">
        <w:t>Safety is supported by the long history of food use of the fruits plus toxicological assessment and human studies at intended use levels</w:t>
      </w:r>
      <w:r w:rsidRPr="007358E3">
        <w:rPr>
          <w:rFonts w:ascii="Calibri" w:hAnsi="Calibri" w:cs="Calibri"/>
        </w:rPr>
        <w:t xml:space="preserve"> (Lewis 2023). Clinical studies using whole kiwifruit (1–3 fruit per day) or kiwifruit-derived powders (up to 5.5 g/day) also report good tolerability.</w:t>
      </w:r>
    </w:p>
    <w:p w:rsidRPr="007358E3" w:rsidR="009B7877" w:rsidP="009B7877" w:rsidRDefault="009B7877" w14:paraId="0A065055" w14:textId="77777777">
      <w:pPr>
        <w:pStyle w:val="ListParagraph"/>
        <w:numPr>
          <w:ilvl w:val="1"/>
          <w:numId w:val="2"/>
        </w:numPr>
      </w:pPr>
      <w:r w:rsidRPr="007358E3">
        <w:rPr>
          <w:rFonts w:ascii="Calibri" w:hAnsi="Calibri" w:cs="Calibri"/>
        </w:rPr>
        <w:t>Kiwifruit allergy is relatively uncommon (&lt;2% of the general population), although risk may be higher in individuals with allergies to latex, birch pollen or dust mites (</w:t>
      </w:r>
      <w:proofErr w:type="spellStart"/>
      <w:r w:rsidRPr="007358E3">
        <w:rPr>
          <w:rFonts w:ascii="Calibri" w:hAnsi="Calibri" w:cs="Calibri"/>
        </w:rPr>
        <w:t>Bublin</w:t>
      </w:r>
      <w:proofErr w:type="spellEnd"/>
      <w:r w:rsidRPr="007358E3">
        <w:rPr>
          <w:rFonts w:ascii="Calibri" w:hAnsi="Calibri" w:cs="Calibri"/>
        </w:rPr>
        <w:t>, 2013).</w:t>
      </w:r>
    </w:p>
    <w:p w:rsidRPr="007358E3" w:rsidR="000B6223" w:rsidP="000B6223" w:rsidRDefault="000B6223" w14:paraId="44F2A991" w14:textId="33E619E1">
      <w:pPr>
        <w:pStyle w:val="ListParagraph"/>
        <w:numPr>
          <w:ilvl w:val="0"/>
          <w:numId w:val="2"/>
        </w:numPr>
      </w:pPr>
      <w:r w:rsidRPr="007358E3">
        <w:t>Storage</w:t>
      </w:r>
      <w:r w:rsidRPr="007358E3" w:rsidR="006D444D">
        <w:t xml:space="preserve"> &amp; </w:t>
      </w:r>
      <w:r w:rsidRPr="007358E3" w:rsidR="009B7877">
        <w:t>stability</w:t>
      </w:r>
    </w:p>
    <w:p w:rsidRPr="007358E3" w:rsidR="006D444D" w:rsidP="000B6223" w:rsidRDefault="006D444D" w14:paraId="5178F9CE" w14:textId="6F61C104">
      <w:pPr>
        <w:pStyle w:val="ListParagraph"/>
        <w:numPr>
          <w:ilvl w:val="1"/>
          <w:numId w:val="2"/>
        </w:numPr>
      </w:pPr>
      <w:r w:rsidRPr="007358E3">
        <w:t xml:space="preserve">Water activity &lt; 0.2, moisture ≤ 5%, shelf life </w:t>
      </w:r>
      <w:r w:rsidR="007358E3">
        <w:t>36</w:t>
      </w:r>
      <w:r w:rsidRPr="007358E3">
        <w:t xml:space="preserve"> months from date of manufacturing </w:t>
      </w:r>
    </w:p>
    <w:p w:rsidRPr="007358E3" w:rsidR="006D444D" w:rsidP="000B6223" w:rsidRDefault="000B6223" w14:paraId="3815692E" w14:textId="77777777">
      <w:pPr>
        <w:pStyle w:val="ListParagraph"/>
        <w:numPr>
          <w:ilvl w:val="1"/>
          <w:numId w:val="2"/>
        </w:numPr>
      </w:pPr>
      <w:r w:rsidRPr="007358E3">
        <w:t>Contains anticaking (2% silica) and flow (5.5% microcrystalline cellulose, MCC) agents</w:t>
      </w:r>
    </w:p>
    <w:p w:rsidRPr="007358E3" w:rsidR="006D444D" w:rsidP="000B6223" w:rsidRDefault="006D444D" w14:paraId="7694CBB8" w14:textId="77777777">
      <w:pPr>
        <w:pStyle w:val="ListParagraph"/>
        <w:numPr>
          <w:ilvl w:val="1"/>
          <w:numId w:val="2"/>
        </w:numPr>
      </w:pPr>
      <w:r w:rsidRPr="007358E3">
        <w:t>M</w:t>
      </w:r>
      <w:r w:rsidRPr="007358E3" w:rsidR="000B6223">
        <w:t>ill size US20/~850µm</w:t>
      </w:r>
    </w:p>
    <w:p w:rsidRPr="00205E81" w:rsidR="006D444D" w:rsidP="000B6223" w:rsidRDefault="000B6223" w14:paraId="1BFC7DA0" w14:textId="6F78C0B8">
      <w:pPr>
        <w:pStyle w:val="ListParagraph"/>
        <w:numPr>
          <w:ilvl w:val="1"/>
          <w:numId w:val="2"/>
        </w:numPr>
        <w:rPr>
          <w:highlight w:val="green"/>
        </w:rPr>
      </w:pPr>
      <w:r w:rsidRPr="00205E81">
        <w:rPr>
          <w:highlight w:val="green"/>
        </w:rPr>
        <w:t>7</w:t>
      </w:r>
      <w:r w:rsidRPr="00205E81" w:rsidR="00E4713E">
        <w:rPr>
          <w:highlight w:val="green"/>
        </w:rPr>
        <w:t>7</w:t>
      </w:r>
      <w:r w:rsidRPr="00205E81">
        <w:rPr>
          <w:highlight w:val="green"/>
        </w:rPr>
        <w:t>% water soluble</w:t>
      </w:r>
    </w:p>
    <w:p w:rsidRPr="00205E81" w:rsidR="009B7877" w:rsidP="00A93BA3" w:rsidRDefault="009B7877" w14:paraId="74C21A5F" w14:textId="3AF26EC5">
      <w:pPr>
        <w:pStyle w:val="ListParagraph"/>
        <w:numPr>
          <w:ilvl w:val="1"/>
          <w:numId w:val="2"/>
        </w:numPr>
        <w:rPr>
          <w:highlight w:val="green"/>
        </w:rPr>
      </w:pPr>
      <w:r w:rsidRPr="00205E81">
        <w:rPr>
          <w:highlight w:val="green"/>
        </w:rPr>
        <w:t>bulk density 0.65 g/mL</w:t>
      </w:r>
    </w:p>
    <w:p w:rsidRPr="007358E3" w:rsidR="00DF1977" w:rsidP="009B7877" w:rsidRDefault="008B420D" w14:paraId="2FFA1246" w14:textId="3B7F3AFD">
      <w:pPr>
        <w:pStyle w:val="ListParagraph"/>
        <w:numPr>
          <w:ilvl w:val="1"/>
          <w:numId w:val="2"/>
        </w:numPr>
      </w:pPr>
      <w:r w:rsidRPr="007358E3">
        <w:t>Actinidin is heat sensitive and loses activity at moderate temperatures, with significant inactivation occurring above ~60 °C.</w:t>
      </w:r>
      <w:r w:rsidR="00880810">
        <w:t xml:space="preserve"> 110 c for 5 mins</w:t>
      </w:r>
    </w:p>
    <w:p w:rsidRPr="007358E3" w:rsidR="00A70549" w:rsidP="00442F05" w:rsidRDefault="00442F05" w14:paraId="32484AEA" w14:textId="77777777">
      <w:pPr>
        <w:pStyle w:val="ListParagraph"/>
        <w:numPr>
          <w:ilvl w:val="0"/>
          <w:numId w:val="2"/>
        </w:numPr>
      </w:pPr>
      <w:commentRangeStart w:id="2"/>
      <w:r w:rsidRPr="007358E3">
        <w:t>What regulatory claims do you have?</w:t>
      </w:r>
      <w:commentRangeEnd w:id="2"/>
      <w:r w:rsidRPr="007358E3" w:rsidR="00A30F9C">
        <w:rPr>
          <w:rStyle w:val="CommentReference"/>
          <w:sz w:val="22"/>
          <w:szCs w:val="22"/>
        </w:rPr>
        <w:commentReference w:id="2"/>
      </w:r>
    </w:p>
    <w:p w:rsidR="00622941" w:rsidP="00622941" w:rsidRDefault="00622941" w14:paraId="73E2C40D" w14:textId="06224A1A">
      <w:pPr>
        <w:pStyle w:val="ListParagraph"/>
        <w:numPr>
          <w:ilvl w:val="1"/>
          <w:numId w:val="2"/>
        </w:numPr>
      </w:pPr>
      <w:r w:rsidRPr="00622941">
        <w:t xml:space="preserve">No approved regulatory claims for </w:t>
      </w:r>
      <w:proofErr w:type="spellStart"/>
      <w:r w:rsidRPr="00622941">
        <w:t>Actinizyme</w:t>
      </w:r>
      <w:proofErr w:type="spellEnd"/>
      <w:r w:rsidRPr="00622941">
        <w:t xml:space="preserve"> as an enzyme. Regulatory claims for enzymes are rare and typically only permitted for specific enzymes such as lactase.</w:t>
      </w:r>
    </w:p>
    <w:p w:rsidRPr="007358E3" w:rsidR="005B12B0" w:rsidP="005B12B0" w:rsidRDefault="005B12B0" w14:paraId="1D4F29E7" w14:textId="7468CF39">
      <w:pPr>
        <w:pStyle w:val="ListParagraph"/>
        <w:numPr>
          <w:ilvl w:val="0"/>
          <w:numId w:val="2"/>
        </w:numPr>
      </w:pPr>
      <w:commentRangeStart w:id="3"/>
      <w:r w:rsidRPr="007358E3">
        <w:t>Can I sell this in my country?</w:t>
      </w:r>
      <w:commentRangeEnd w:id="3"/>
      <w:r w:rsidRPr="007358E3" w:rsidR="00622941">
        <w:rPr>
          <w:rStyle w:val="CommentReference"/>
          <w:sz w:val="22"/>
          <w:szCs w:val="22"/>
        </w:rPr>
        <w:commentReference w:id="3"/>
      </w:r>
    </w:p>
    <w:p w:rsidRPr="007358E3" w:rsidR="005B12B0" w:rsidP="005B12B0" w:rsidRDefault="005B12B0" w14:paraId="010738A5" w14:textId="611DB2D7">
      <w:pPr>
        <w:pStyle w:val="ListParagraph"/>
        <w:numPr>
          <w:ilvl w:val="1"/>
          <w:numId w:val="2"/>
        </w:numPr>
      </w:pPr>
      <w:r w:rsidRPr="007358E3">
        <w:t xml:space="preserve">Yes! In most markets </w:t>
      </w:r>
      <w:proofErr w:type="spellStart"/>
      <w:r w:rsidR="00205E81">
        <w:t>Actinizyme</w:t>
      </w:r>
      <w:proofErr w:type="spellEnd"/>
      <w:r w:rsidRPr="007358E3">
        <w:t xml:space="preserve"> can be used as a food or dietary supplement ingredient, but you must confirm status and claims with your local regulatory advisor.</w:t>
      </w:r>
    </w:p>
    <w:p w:rsidRPr="007358E3" w:rsidR="0070389E" w:rsidP="0070389E" w:rsidRDefault="0070389E" w14:paraId="4FEDF7F3" w14:textId="77777777">
      <w:pPr>
        <w:pStyle w:val="ListParagraph"/>
        <w:numPr>
          <w:ilvl w:val="0"/>
          <w:numId w:val="2"/>
        </w:numPr>
      </w:pPr>
      <w:r w:rsidRPr="007358E3">
        <w:t>Do you have a patent for your ingredient?</w:t>
      </w:r>
    </w:p>
    <w:p w:rsidRPr="007358E3" w:rsidR="00150CDE" w:rsidP="00150CDE" w:rsidRDefault="00622941" w14:paraId="634926F0" w14:textId="4D04F54E">
      <w:pPr>
        <w:pStyle w:val="ListParagraph"/>
        <w:numPr>
          <w:ilvl w:val="1"/>
          <w:numId w:val="2"/>
        </w:numPr>
      </w:pPr>
      <w:r>
        <w:lastRenderedPageBreak/>
        <w:t xml:space="preserve">No, </w:t>
      </w:r>
      <w:proofErr w:type="spellStart"/>
      <w:r>
        <w:t>A</w:t>
      </w:r>
      <w:r w:rsidR="00205E81">
        <w:t>ctinizyme</w:t>
      </w:r>
      <w:proofErr w:type="spellEnd"/>
      <w:r w:rsidRPr="007358E3" w:rsidR="00150CDE">
        <w:t xml:space="preserve"> is protected through a combination of proprietary know-how, branded science, and</w:t>
      </w:r>
      <w:r>
        <w:t xml:space="preserve"> other </w:t>
      </w:r>
      <w:r w:rsidRPr="007358E3" w:rsidR="00150CDE">
        <w:t xml:space="preserve">intellectual property relating to its composition and use. </w:t>
      </w:r>
    </w:p>
    <w:p w:rsidRPr="007358E3" w:rsidR="0070389E" w:rsidP="0070389E" w:rsidRDefault="0070389E" w14:paraId="066C11A2" w14:textId="2E6B3E7E">
      <w:pPr>
        <w:pStyle w:val="ListParagraph"/>
        <w:numPr>
          <w:ilvl w:val="0"/>
          <w:numId w:val="2"/>
        </w:numPr>
      </w:pPr>
      <w:r w:rsidRPr="007358E3">
        <w:t>Do you have a trademark</w:t>
      </w:r>
    </w:p>
    <w:p w:rsidRPr="007358E3" w:rsidR="0070389E" w:rsidP="0070389E" w:rsidRDefault="0070389E" w14:paraId="7AED35DC" w14:textId="57AED2B3">
      <w:pPr>
        <w:pStyle w:val="ListParagraph"/>
        <w:numPr>
          <w:ilvl w:val="1"/>
          <w:numId w:val="2"/>
        </w:numPr>
      </w:pPr>
      <w:r w:rsidRPr="007358E3">
        <w:t xml:space="preserve">Yes, </w:t>
      </w:r>
      <w:proofErr w:type="spellStart"/>
      <w:r w:rsidR="00205E81">
        <w:t>Actinizyme</w:t>
      </w:r>
      <w:proofErr w:type="spellEnd"/>
      <w:r w:rsidRPr="007358E3">
        <w:t xml:space="preserve"> is used as a trademarked brand name for the ingredient.</w:t>
      </w:r>
    </w:p>
    <w:p w:rsidRPr="007358E3" w:rsidR="00984777" w:rsidP="00984777" w:rsidRDefault="00984777" w14:paraId="2E954D48" w14:textId="77777777">
      <w:pPr>
        <w:pStyle w:val="ListParagraph"/>
        <w:numPr>
          <w:ilvl w:val="0"/>
          <w:numId w:val="2"/>
        </w:numPr>
      </w:pPr>
      <w:r w:rsidRPr="007358E3">
        <w:t>Can I use the logo on my packaging?</w:t>
      </w:r>
    </w:p>
    <w:p w:rsidRPr="007358E3" w:rsidR="00984777" w:rsidP="00984777" w:rsidRDefault="00984777" w14:paraId="30C297D4" w14:textId="72839ECB">
      <w:pPr>
        <w:pStyle w:val="ListParagraph"/>
        <w:numPr>
          <w:ilvl w:val="1"/>
          <w:numId w:val="2"/>
        </w:numPr>
      </w:pPr>
      <w:r w:rsidRPr="007358E3">
        <w:t xml:space="preserve">Use of the </w:t>
      </w:r>
      <w:proofErr w:type="spellStart"/>
      <w:r w:rsidR="00205E81">
        <w:t>Actinizyme</w:t>
      </w:r>
      <w:proofErr w:type="spellEnd"/>
      <w:r w:rsidRPr="007358E3">
        <w:t xml:space="preserve"> logo is possible under a brand-licensing or ingredient-branding agreement with </w:t>
      </w:r>
      <w:proofErr w:type="spellStart"/>
      <w:r w:rsidRPr="007358E3">
        <w:t>Anagenix</w:t>
      </w:r>
      <w:proofErr w:type="spellEnd"/>
      <w:r w:rsidRPr="007358E3">
        <w:t>.</w:t>
      </w:r>
    </w:p>
    <w:p w:rsidRPr="007358E3" w:rsidR="00A30F9C" w:rsidP="009B7877" w:rsidRDefault="009B7877" w14:paraId="71E3D388" w14:textId="77777777">
      <w:pPr>
        <w:pStyle w:val="ListParagraph"/>
        <w:numPr>
          <w:ilvl w:val="0"/>
          <w:numId w:val="2"/>
        </w:numPr>
        <w:spacing w:line="278" w:lineRule="auto"/>
        <w:rPr>
          <w:rFonts w:ascii="Calibri" w:hAnsi="Calibri" w:cs="Calibri"/>
        </w:rPr>
      </w:pPr>
      <w:r w:rsidRPr="007358E3">
        <w:rPr>
          <w:rFonts w:ascii="Calibri" w:hAnsi="Calibri" w:cs="Calibri"/>
        </w:rPr>
        <w:t xml:space="preserve">What are the certifications? </w:t>
      </w:r>
    </w:p>
    <w:p w:rsidRPr="007358E3" w:rsidR="009B7877" w:rsidP="00A30F9C" w:rsidRDefault="009B7877" w14:paraId="1DB4DCE1" w14:textId="5E18A0F6">
      <w:pPr>
        <w:pStyle w:val="ListParagraph"/>
        <w:numPr>
          <w:ilvl w:val="1"/>
          <w:numId w:val="2"/>
        </w:numPr>
        <w:spacing w:line="278" w:lineRule="auto"/>
        <w:rPr>
          <w:rFonts w:ascii="Calibri" w:hAnsi="Calibri" w:cs="Calibri"/>
        </w:rPr>
      </w:pPr>
      <w:r w:rsidRPr="0CF9F517" w:rsidR="009B7877">
        <w:rPr>
          <w:rFonts w:ascii="Calibri" w:hAnsi="Calibri" w:cs="Calibri"/>
        </w:rPr>
        <w:t>GM</w:t>
      </w:r>
      <w:r w:rsidRPr="0CF9F517" w:rsidR="009B7877">
        <w:rPr>
          <w:rFonts w:ascii="Calibri" w:hAnsi="Calibri" w:cs="Calibri"/>
        </w:rPr>
        <w:t xml:space="preserve">O Free, </w:t>
      </w:r>
      <w:r w:rsidRPr="0CF9F517" w:rsidR="009B7877">
        <w:rPr>
          <w:rFonts w:ascii="Calibri" w:hAnsi="Calibri" w:cs="Calibri"/>
        </w:rPr>
        <w:t>Low FODMAP, allergen free,</w:t>
      </w:r>
      <w:r w:rsidRPr="0CF9F517" w:rsidR="009B7877">
        <w:rPr>
          <w:rFonts w:ascii="Calibri" w:hAnsi="Calibri" w:cs="Calibri"/>
        </w:rPr>
        <w:t xml:space="preserve"> gluten free, vegan, GRAS, </w:t>
      </w:r>
      <w:r w:rsidRPr="0CF9F517" w:rsidR="009B7877">
        <w:rPr>
          <w:rFonts w:ascii="Calibri" w:hAnsi="Calibri" w:cs="Calibri"/>
        </w:rPr>
        <w:t>certified Kosher &amp; Halal</w:t>
      </w:r>
      <w:r w:rsidRPr="0CF9F517" w:rsidR="009B7877">
        <w:rPr>
          <w:rFonts w:ascii="Calibri" w:hAnsi="Calibri" w:cs="Calibri"/>
        </w:rPr>
        <w:t>, certified Organic variant available</w:t>
      </w:r>
    </w:p>
    <w:p w:rsidRPr="007358E3" w:rsidR="009352E7" w:rsidP="009352E7" w:rsidRDefault="009352E7" w14:paraId="08C9229B" w14:textId="77777777">
      <w:pPr>
        <w:pStyle w:val="ListParagraph"/>
        <w:numPr>
          <w:ilvl w:val="0"/>
          <w:numId w:val="2"/>
        </w:numPr>
      </w:pPr>
      <w:r w:rsidRPr="007358E3">
        <w:t>What are the key positionings?</w:t>
      </w:r>
    </w:p>
    <w:p w:rsidRPr="007358E3" w:rsidR="009352E7" w:rsidP="009352E7" w:rsidRDefault="00622941" w14:paraId="27414FBB" w14:textId="29983002">
      <w:pPr>
        <w:pStyle w:val="ListParagraph"/>
        <w:numPr>
          <w:ilvl w:val="1"/>
          <w:numId w:val="2"/>
        </w:numPr>
      </w:pPr>
      <w:r w:rsidRPr="00622941">
        <w:t>Key positionings include sports nutrition products: for athletes and individuals on high-protein diets, especially vegan and plant-based athletes, particularly those wanting to improve digestive comfort from protein intake.</w:t>
      </w:r>
    </w:p>
    <w:p w:rsidRPr="00622941" w:rsidR="00A70549" w:rsidP="00442F05" w:rsidRDefault="00442F05" w14:paraId="599C87F2" w14:textId="77777777">
      <w:pPr>
        <w:pStyle w:val="ListParagraph"/>
        <w:numPr>
          <w:ilvl w:val="0"/>
          <w:numId w:val="2"/>
        </w:numPr>
      </w:pPr>
      <w:r w:rsidRPr="00622941">
        <w:t>What does it taste like?</w:t>
      </w:r>
    </w:p>
    <w:p w:rsidRPr="00622941" w:rsidR="00205E81" w:rsidP="00205E81" w:rsidRDefault="00205E81" w14:paraId="49EF0F9B" w14:textId="77777777">
      <w:pPr>
        <w:pStyle w:val="ListParagraph"/>
        <w:numPr>
          <w:ilvl w:val="1"/>
          <w:numId w:val="2"/>
        </w:numPr>
        <w:spacing w:line="276" w:lineRule="auto"/>
        <w:rPr>
          <w:rFonts w:ascii="Calibri" w:hAnsi="Calibri" w:cs="Calibri"/>
        </w:rPr>
      </w:pPr>
      <w:r w:rsidRPr="00622941">
        <w:rPr>
          <w:rFonts w:ascii="Calibri" w:hAnsi="Calibri" w:cs="Calibri"/>
        </w:rPr>
        <w:t>Strong flavour and taste of fresh green kiwifruit (sweet with a slight acidic/tart taste). Goes well with apple, banana, strawberries and other berries, cherry, citrus, coconut, mango, and tropical fruit flavours.</w:t>
      </w:r>
      <w:r w:rsidRPr="00622941">
        <w:t xml:space="preserve"> </w:t>
      </w:r>
    </w:p>
    <w:p w:rsidRPr="007358E3" w:rsidR="00A30F9C" w:rsidP="009B7877" w:rsidRDefault="009B7877" w14:paraId="75AB61EB" w14:textId="77777777">
      <w:pPr>
        <w:pStyle w:val="ListParagraph"/>
        <w:numPr>
          <w:ilvl w:val="0"/>
          <w:numId w:val="2"/>
        </w:numPr>
        <w:spacing w:line="278" w:lineRule="auto"/>
        <w:rPr>
          <w:rFonts w:ascii="Calibri" w:hAnsi="Calibri" w:cs="Calibri"/>
        </w:rPr>
      </w:pPr>
      <w:r w:rsidRPr="007358E3">
        <w:rPr>
          <w:rFonts w:ascii="Calibri" w:hAnsi="Calibri" w:cs="Calibri"/>
        </w:rPr>
        <w:t xml:space="preserve">What is the colour? </w:t>
      </w:r>
    </w:p>
    <w:p w:rsidRPr="007358E3" w:rsidR="00BE75AC" w:rsidP="00A30F9C" w:rsidRDefault="009B7877" w14:paraId="4384807D" w14:textId="7E4D2ACD">
      <w:pPr>
        <w:pStyle w:val="ListParagraph"/>
        <w:numPr>
          <w:ilvl w:val="1"/>
          <w:numId w:val="2"/>
        </w:numPr>
        <w:spacing w:line="278" w:lineRule="auto"/>
        <w:rPr>
          <w:rFonts w:ascii="Calibri" w:hAnsi="Calibri" w:cs="Calibri"/>
        </w:rPr>
      </w:pPr>
      <w:r w:rsidRPr="007358E3">
        <w:rPr>
          <w:rFonts w:ascii="Calibri" w:hAnsi="Calibri" w:cs="Calibri"/>
        </w:rPr>
        <w:t>High retention of natural g</w:t>
      </w:r>
      <w:r w:rsidR="00205E81">
        <w:rPr>
          <w:rFonts w:ascii="Calibri" w:hAnsi="Calibri" w:cs="Calibri"/>
        </w:rPr>
        <w:t xml:space="preserve">reen and tan </w:t>
      </w:r>
      <w:r w:rsidRPr="007358E3">
        <w:rPr>
          <w:rFonts w:ascii="Calibri" w:hAnsi="Calibri" w:cs="Calibri"/>
        </w:rPr>
        <w:t>kiwifruit colour</w:t>
      </w:r>
    </w:p>
    <w:p w:rsidRPr="000C508B" w:rsidR="00A70549" w:rsidP="00442F05" w:rsidRDefault="00442F05" w14:paraId="43C7AD7E" w14:textId="77777777">
      <w:pPr>
        <w:pStyle w:val="ListParagraph"/>
        <w:numPr>
          <w:ilvl w:val="0"/>
          <w:numId w:val="2"/>
        </w:numPr>
      </w:pPr>
      <w:r w:rsidRPr="000C508B">
        <w:t>What formats is it suitable in?</w:t>
      </w:r>
    </w:p>
    <w:p w:rsidRPr="00622941" w:rsidR="00622941" w:rsidP="00622941" w:rsidRDefault="00622941" w14:paraId="37619BA7" w14:textId="77777777">
      <w:pPr>
        <w:pStyle w:val="ListParagraph"/>
        <w:numPr>
          <w:ilvl w:val="1"/>
          <w:numId w:val="2"/>
        </w:numPr>
        <w:rPr>
          <w:rFonts w:ascii="Calibri" w:hAnsi="Calibri" w:cs="Calibri"/>
        </w:rPr>
      </w:pPr>
      <w:r w:rsidRPr="00622941">
        <w:rPr>
          <w:rFonts w:ascii="Calibri" w:hAnsi="Calibri" w:cs="Calibri"/>
        </w:rPr>
        <w:t xml:space="preserve">Non-gelatine or pectin-based capsules, </w:t>
      </w:r>
      <w:proofErr w:type="spellStart"/>
      <w:r w:rsidRPr="00622941">
        <w:rPr>
          <w:rFonts w:ascii="Calibri" w:hAnsi="Calibri" w:cs="Calibri"/>
        </w:rPr>
        <w:t>chewables</w:t>
      </w:r>
      <w:proofErr w:type="spellEnd"/>
      <w:r w:rsidRPr="00622941">
        <w:rPr>
          <w:rFonts w:ascii="Calibri" w:hAnsi="Calibri" w:cs="Calibri"/>
        </w:rPr>
        <w:t xml:space="preserve">, gummies, jelly cups and sticks; ready-to-drink (RTD) and functional beverages (e.g., shots, smoothies, kombucha); snack foods (e.g., </w:t>
      </w:r>
      <w:proofErr w:type="spellStart"/>
      <w:r w:rsidRPr="00622941">
        <w:rPr>
          <w:rFonts w:ascii="Calibri" w:hAnsi="Calibri" w:cs="Calibri"/>
        </w:rPr>
        <w:t>frooze</w:t>
      </w:r>
      <w:proofErr w:type="spellEnd"/>
      <w:r w:rsidRPr="00622941">
        <w:rPr>
          <w:rFonts w:ascii="Calibri" w:hAnsi="Calibri" w:cs="Calibri"/>
        </w:rPr>
        <w:t xml:space="preserve"> balls, biscuit fillings); powders (e.g., protein or milk powders); superfood mixes, muesli, cereals, and bars; solid beverages; non-dairy yogurts </w:t>
      </w:r>
    </w:p>
    <w:p w:rsidRPr="00622941" w:rsidR="00622941" w:rsidP="00622941" w:rsidRDefault="00622941" w14:paraId="369D235F" w14:textId="77777777">
      <w:pPr>
        <w:pStyle w:val="ListParagraph"/>
        <w:numPr>
          <w:ilvl w:val="0"/>
          <w:numId w:val="2"/>
        </w:numPr>
        <w:rPr>
          <w:rFonts w:ascii="Calibri" w:hAnsi="Calibri" w:cs="Calibri"/>
        </w:rPr>
      </w:pPr>
      <w:r w:rsidRPr="00622941">
        <w:rPr>
          <w:rFonts w:ascii="Calibri" w:hAnsi="Calibri" w:cs="Calibri"/>
        </w:rPr>
        <w:t xml:space="preserve">Why non-gelatine? </w:t>
      </w:r>
    </w:p>
    <w:p w:rsidRPr="00622941" w:rsidR="00622941" w:rsidP="000C508B" w:rsidRDefault="00622941" w14:paraId="4562B4D9" w14:textId="77777777">
      <w:pPr>
        <w:pStyle w:val="ListParagraph"/>
        <w:numPr>
          <w:ilvl w:val="1"/>
          <w:numId w:val="2"/>
        </w:numPr>
        <w:rPr>
          <w:rFonts w:ascii="Calibri" w:hAnsi="Calibri" w:cs="Calibri"/>
        </w:rPr>
      </w:pPr>
      <w:r w:rsidRPr="0CF9F517" w:rsidR="00622941">
        <w:rPr>
          <w:rFonts w:ascii="Calibri" w:hAnsi="Calibri" w:cs="Calibri"/>
        </w:rPr>
        <w:t>Actinidin is a protein-digesting enzyme that can break down gelatine, which may affect texture and product stability.</w:t>
      </w:r>
    </w:p>
    <w:p w:rsidRPr="007358E3" w:rsidR="00574692" w:rsidP="00574692" w:rsidRDefault="00574692" w14:paraId="7A798180" w14:textId="77777777">
      <w:pPr>
        <w:pStyle w:val="ListParagraph"/>
        <w:numPr>
          <w:ilvl w:val="0"/>
          <w:numId w:val="2"/>
        </w:numPr>
        <w:spacing w:line="278" w:lineRule="auto"/>
        <w:rPr>
          <w:rFonts w:ascii="Calibri" w:hAnsi="Calibri" w:cs="Calibri"/>
        </w:rPr>
      </w:pPr>
      <w:r w:rsidRPr="007358E3">
        <w:rPr>
          <w:rFonts w:ascii="Calibri" w:hAnsi="Calibri" w:cs="Calibri"/>
        </w:rPr>
        <w:t xml:space="preserve">Who are our competitors? </w:t>
      </w:r>
    </w:p>
    <w:p w:rsidR="001C0444" w:rsidP="001C0444" w:rsidRDefault="5A7C7EB2" w14:paraId="4B42256D" w14:textId="2C4CD42E">
      <w:pPr>
        <w:pStyle w:val="ListParagraph"/>
        <w:numPr>
          <w:ilvl w:val="1"/>
          <w:numId w:val="2"/>
        </w:numPr>
        <w:spacing w:line="256" w:lineRule="auto"/>
      </w:pPr>
      <w:r w:rsidRPr="7E877639">
        <w:rPr>
          <w:rFonts w:ascii="Calibri" w:hAnsi="Calibri" w:cs="Calibri"/>
        </w:rPr>
        <w:t>Other enzyme aids</w:t>
      </w:r>
      <w:r w:rsidRPr="7E877639" w:rsidR="55BB7288">
        <w:rPr>
          <w:rFonts w:ascii="Calibri" w:hAnsi="Calibri" w:cs="Calibri"/>
        </w:rPr>
        <w:t xml:space="preserve"> like </w:t>
      </w:r>
      <w:r w:rsidR="55BB7288">
        <w:t xml:space="preserve">papain and bromelain, but actinidin remains active across a broader pH range, which means it can support protein breakdown across different stages of digestion, </w:t>
      </w:r>
      <w:commentRangeStart w:id="4"/>
      <w:r w:rsidR="55BB7288">
        <w:t xml:space="preserve">unlike papain </w:t>
      </w:r>
      <w:r w:rsidR="55BB7288">
        <w:t xml:space="preserve">which </w:t>
      </w:r>
      <w:r w:rsidR="2C4E2C77">
        <w:t>is</w:t>
      </w:r>
      <w:r w:rsidR="55BB7288">
        <w:t xml:space="preserve"> less </w:t>
      </w:r>
      <w:r w:rsidR="55BB7288">
        <w:t>active in the low pH of the stomach.</w:t>
      </w:r>
      <w:commentRangeEnd w:id="4"/>
      <w:r w:rsidR="00205E81">
        <w:rPr>
          <w:rStyle w:val="CommentReference"/>
        </w:rPr>
        <w:commentReference w:id="4"/>
      </w:r>
    </w:p>
    <w:p w:rsidR="000C508B" w:rsidP="00A031AF" w:rsidRDefault="000C508B" w14:paraId="10BA00BA" w14:textId="253DB0C9">
      <w:pPr>
        <w:pStyle w:val="ListParagraph"/>
        <w:numPr>
          <w:ilvl w:val="1"/>
          <w:numId w:val="2"/>
        </w:numPr>
        <w:rPr>
          <w:rFonts w:ascii="Calibri" w:hAnsi="Calibri" w:cs="Calibri"/>
        </w:rPr>
      </w:pPr>
      <w:r w:rsidRPr="000C508B">
        <w:rPr>
          <w:rFonts w:ascii="Calibri" w:hAnsi="Calibri" w:cs="Calibri"/>
        </w:rPr>
        <w:lastRenderedPageBreak/>
        <w:t>Other kiwifruit digestive enzyme products are primarily available as isolated extract</w:t>
      </w:r>
      <w:r>
        <w:rPr>
          <w:rFonts w:ascii="Calibri" w:hAnsi="Calibri" w:cs="Calibri"/>
        </w:rPr>
        <w:t xml:space="preserve">s that doesn’t retain whole food matrix and components such as </w:t>
      </w:r>
      <w:r w:rsidRPr="000C508B">
        <w:rPr>
          <w:rFonts w:ascii="Calibri" w:hAnsi="Calibri" w:cs="Calibri"/>
        </w:rPr>
        <w:t>fibre, vitamins, and polyphenols.</w:t>
      </w:r>
    </w:p>
    <w:p w:rsidRPr="001C0444" w:rsidR="000C508B" w:rsidP="00985BBC" w:rsidRDefault="001C0444" w14:paraId="6FED49A7" w14:textId="18C83AAA">
      <w:pPr>
        <w:pStyle w:val="ListParagraph"/>
        <w:numPr>
          <w:ilvl w:val="1"/>
          <w:numId w:val="2"/>
        </w:numPr>
        <w:rPr>
          <w:rFonts w:ascii="Calibri" w:hAnsi="Calibri" w:cs="Calibri"/>
        </w:rPr>
      </w:pPr>
      <w:r w:rsidRPr="0CF9F517" w:rsidR="001C0444">
        <w:rPr>
          <w:rFonts w:ascii="Calibri" w:hAnsi="Calibri" w:cs="Calibri"/>
        </w:rPr>
        <w:t>Actinizyme</w:t>
      </w:r>
      <w:r w:rsidRPr="0CF9F517" w:rsidR="001C0444">
        <w:rPr>
          <w:rFonts w:ascii="Calibri" w:hAnsi="Calibri" w:cs="Calibri"/>
        </w:rPr>
        <w:t xml:space="preserve">® delivers four times the enzyme density of standard kiwifruit powder due to proprietary </w:t>
      </w:r>
      <w:r w:rsidRPr="0CF9F517" w:rsidR="001C0444">
        <w:rPr>
          <w:rFonts w:ascii="Calibri" w:hAnsi="Calibri" w:cs="Calibri"/>
        </w:rPr>
        <w:t>methodology</w:t>
      </w:r>
      <w:r w:rsidRPr="0CF9F517" w:rsidR="001C0444">
        <w:rPr>
          <w:rFonts w:ascii="Calibri" w:hAnsi="Calibri" w:cs="Calibri"/>
        </w:rPr>
        <w:t xml:space="preserve"> used to </w:t>
      </w:r>
      <w:r w:rsidRPr="0CF9F517" w:rsidR="001C0444">
        <w:rPr>
          <w:rFonts w:ascii="Calibri" w:hAnsi="Calibri" w:cs="Calibri"/>
        </w:rPr>
        <w:t>retain</w:t>
      </w:r>
      <w:r w:rsidRPr="0CF9F517" w:rsidR="001C0444">
        <w:rPr>
          <w:rFonts w:ascii="Calibri" w:hAnsi="Calibri" w:cs="Calibri"/>
        </w:rPr>
        <w:t xml:space="preserve"> the </w:t>
      </w:r>
      <w:r w:rsidRPr="0CF9F517" w:rsidR="001C0444">
        <w:rPr>
          <w:rFonts w:ascii="Calibri" w:hAnsi="Calibri" w:cs="Calibri"/>
        </w:rPr>
        <w:t>maximum</w:t>
      </w:r>
      <w:r w:rsidRPr="0CF9F517" w:rsidR="001C0444">
        <w:rPr>
          <w:rFonts w:ascii="Calibri" w:hAnsi="Calibri" w:cs="Calibri"/>
        </w:rPr>
        <w:t xml:space="preserve"> natural enzyme activity of green kiwifruit in powdered form </w:t>
      </w:r>
      <w:r w:rsidRPr="0CF9F517" w:rsidR="000C508B">
        <w:rPr>
          <w:rFonts w:ascii="Calibri" w:hAnsi="Calibri" w:cs="Calibri"/>
        </w:rPr>
        <w:t>(</w:t>
      </w:r>
      <w:r w:rsidRPr="0CF9F517" w:rsidR="708D29C2">
        <w:rPr>
          <w:rFonts w:ascii="Calibri" w:hAnsi="Calibri" w:cs="Calibri"/>
        </w:rPr>
        <w:t>compared</w:t>
      </w:r>
      <w:r w:rsidRPr="0CF9F517" w:rsidR="708D29C2">
        <w:rPr>
          <w:rFonts w:ascii="Calibri" w:hAnsi="Calibri" w:cs="Calibri"/>
        </w:rPr>
        <w:t xml:space="preserve"> to </w:t>
      </w:r>
      <w:r w:rsidRPr="0CF9F517" w:rsidR="001C0444">
        <w:rPr>
          <w:rFonts w:ascii="Calibri" w:hAnsi="Calibri" w:cs="Calibri"/>
        </w:rPr>
        <w:t xml:space="preserve">e.g. </w:t>
      </w:r>
      <w:r w:rsidRPr="0CF9F517" w:rsidR="000C508B">
        <w:rPr>
          <w:rFonts w:ascii="Calibri" w:hAnsi="Calibri" w:cs="Calibri"/>
        </w:rPr>
        <w:t>PhenActiv</w:t>
      </w:r>
      <w:r w:rsidRPr="0CF9F517" w:rsidR="000C508B">
        <w:rPr>
          <w:rFonts w:ascii="Calibri" w:hAnsi="Calibri" w:cs="Calibri"/>
        </w:rPr>
        <w:t xml:space="preserve"> from Waitaki Biosciences &gt; 20,000 U/g)</w:t>
      </w:r>
    </w:p>
    <w:p w:rsidRPr="007358E3" w:rsidR="00A70549" w:rsidP="00574692" w:rsidRDefault="00442F05" w14:paraId="1F9176D1" w14:textId="02F0596F">
      <w:pPr>
        <w:pStyle w:val="ListParagraph"/>
        <w:numPr>
          <w:ilvl w:val="0"/>
          <w:numId w:val="2"/>
        </w:numPr>
      </w:pPr>
      <w:r w:rsidRPr="007358E3">
        <w:t xml:space="preserve">How does your manufacturing process differ from other </w:t>
      </w:r>
      <w:r w:rsidRPr="007358E3" w:rsidR="00A30F9C">
        <w:t>freeze-dried</w:t>
      </w:r>
      <w:r w:rsidRPr="007358E3">
        <w:t xml:space="preserve"> products?</w:t>
      </w:r>
    </w:p>
    <w:p w:rsidRPr="007358E3" w:rsidR="00574692" w:rsidP="00574692" w:rsidRDefault="00574692" w14:paraId="6A36FD83" w14:textId="77777777">
      <w:pPr>
        <w:pStyle w:val="ListParagraph"/>
        <w:numPr>
          <w:ilvl w:val="1"/>
          <w:numId w:val="2"/>
        </w:numPr>
      </w:pPr>
      <w:r w:rsidRPr="007358E3">
        <w:rPr>
          <w:rFonts w:ascii="Calibri" w:hAnsi="Calibri" w:cs="Calibri"/>
        </w:rPr>
        <w:t xml:space="preserve">Our proprietary methodology (Target </w:t>
      </w:r>
      <w:proofErr w:type="spellStart"/>
      <w:r w:rsidRPr="007358E3">
        <w:rPr>
          <w:rFonts w:ascii="Calibri" w:hAnsi="Calibri" w:cs="Calibri"/>
        </w:rPr>
        <w:t>Biolock</w:t>
      </w:r>
      <w:proofErr w:type="spellEnd"/>
      <w:r w:rsidRPr="007358E3">
        <w:rPr>
          <w:rFonts w:ascii="Calibri" w:hAnsi="Calibri" w:cs="Calibri"/>
        </w:rPr>
        <w:t xml:space="preserve"> manufacturing process for peak bioactive retention) is gentler than standard “food-grade” freeze-drying.</w:t>
      </w:r>
    </w:p>
    <w:p w:rsidRPr="007358E3" w:rsidR="00A70549" w:rsidP="009352E7" w:rsidRDefault="00442F05" w14:paraId="16D2C00F" w14:textId="73C6D6F2">
      <w:pPr>
        <w:pStyle w:val="ListParagraph"/>
        <w:numPr>
          <w:ilvl w:val="0"/>
          <w:numId w:val="2"/>
        </w:numPr>
      </w:pPr>
      <w:r w:rsidRPr="007358E3">
        <w:t>What are some examples of products that currently use your ingredient?</w:t>
      </w:r>
    </w:p>
    <w:p w:rsidRPr="007358E3" w:rsidR="000C2467" w:rsidP="00862F73" w:rsidRDefault="00216D96" w14:paraId="1921F22C" w14:textId="75742DE2">
      <w:pPr>
        <w:pStyle w:val="ListParagraph"/>
        <w:numPr>
          <w:ilvl w:val="1"/>
          <w:numId w:val="2"/>
        </w:numPr>
        <w:rPr/>
      </w:pPr>
      <w:r w:rsidR="00216D96">
        <w:rPr/>
        <w:t>Actinizyme</w:t>
      </w:r>
      <w:r w:rsidR="00216D96">
        <w:rPr/>
        <w:t xml:space="preserve"> is a newly launched ingredient, and commercial applications are currently in development.</w:t>
      </w:r>
      <w:r w:rsidR="7261023B">
        <w:rPr/>
        <w:t xml:space="preserve"> We have product launches at various stages within the next 3 months.</w:t>
      </w:r>
    </w:p>
    <w:sectPr w:rsidRPr="007358E3" w:rsidR="000C2467">
      <w:pgSz w:w="11906" w:h="16838" w:orient="portrait"/>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nitials="AC" w:author="Alysha Chua" w:date="2026-04-07T11:14:00Z" w:id="0">
    <w:p w:rsidR="007977DE" w:rsidP="007977DE" w:rsidRDefault="007977DE" w14:paraId="5241F090" w14:textId="77777777">
      <w:pPr>
        <w:pStyle w:val="CommentText"/>
      </w:pPr>
      <w:r>
        <w:rPr>
          <w:rStyle w:val="CommentReference"/>
        </w:rPr>
        <w:annotationRef/>
      </w:r>
      <w:r>
        <w:t>Changing it faster amino acid absorption as the benefits from actinidin seems to be more of a kinetic benefit, rather than enhancing total amino acid absorption</w:t>
      </w:r>
    </w:p>
  </w:comment>
  <w:comment w:initials="AC" w:author="Alysha Chua" w:date="2026-04-07T11:15:00Z" w:id="1">
    <w:p w:rsidR="00574827" w:rsidP="00574827" w:rsidRDefault="00574827" w14:paraId="511E1DD4" w14:textId="77777777">
      <w:pPr>
        <w:pStyle w:val="CommentText"/>
      </w:pPr>
      <w:r>
        <w:rPr>
          <w:rStyle w:val="CommentReference"/>
        </w:rPr>
        <w:annotationRef/>
      </w:r>
      <w:r>
        <w:t>Papain is definitely inactive in gastric, but bromelain is still active there. Not sure if we can claim if bromelain is less active than actinidin in the stomach</w:t>
      </w:r>
    </w:p>
  </w:comment>
  <w:comment w:initials="PO" w:author="Ping Ong" w:date="2026-04-01T11:18:00Z" w:id="2">
    <w:p w:rsidR="00A30F9C" w:rsidP="00A30F9C" w:rsidRDefault="00A30F9C" w14:paraId="6A7801A3" w14:textId="77777777">
      <w:pPr>
        <w:pStyle w:val="CommentText"/>
      </w:pPr>
      <w:r>
        <w:rPr>
          <w:rStyle w:val="CommentReference"/>
        </w:rPr>
        <w:annotationRef/>
      </w:r>
      <w:r>
        <w:t>Double check</w:t>
      </w:r>
    </w:p>
  </w:comment>
  <w:comment w:initials="PO" w:author="Ping Ong" w:date="2026-04-03T15:25:00Z" w:id="3">
    <w:p w:rsidR="00622941" w:rsidP="00622941" w:rsidRDefault="00622941" w14:paraId="6C817FB7" w14:textId="77777777">
      <w:pPr>
        <w:pStyle w:val="CommentText"/>
      </w:pPr>
      <w:r>
        <w:rPr>
          <w:rStyle w:val="CommentReference"/>
        </w:rPr>
        <w:annotationRef/>
      </w:r>
      <w:r>
        <w:t>Double check</w:t>
      </w:r>
    </w:p>
  </w:comment>
  <w:comment w:initials="AC" w:author="Alysha Chua" w:date="2026-04-07T11:19:00Z" w:id="4">
    <w:p w:rsidR="00BF3109" w:rsidP="00BF3109" w:rsidRDefault="00BF3109" w14:paraId="08562DFA" w14:textId="77777777">
      <w:pPr>
        <w:pStyle w:val="CommentText"/>
      </w:pPr>
      <w:r>
        <w:rPr>
          <w:rStyle w:val="CommentReference"/>
        </w:rPr>
        <w:annotationRef/>
      </w:r>
      <w:r>
        <w:t>See similar comment above on pH</w:t>
      </w:r>
    </w:p>
  </w:comment>
</w:comments>
</file>

<file path=word/commentsExtended.xml><?xml version="1.0" encoding="utf-8"?>
<w15:commentsEx xmlns:mc="http://schemas.openxmlformats.org/markup-compatibility/2006" xmlns:w15="http://schemas.microsoft.com/office/word/2012/wordml" mc:Ignorable="w15">
  <w15:commentEx w15:done="1" w15:paraId="5241F090"/>
  <w15:commentEx w15:done="1" w15:paraId="511E1DD4"/>
  <w15:commentEx w15:done="1" w15:paraId="6A7801A3"/>
  <w15:commentEx w15:done="0" w15:paraId="6C817FB7"/>
  <w15:commentEx w15:done="1" w15:paraId="08562DFA"/>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627337F0" w16cex:dateUtc="2026-04-06T23:14:00Z"/>
  <w16cex:commentExtensible w16cex:durableId="60499445" w16cex:dateUtc="2026-04-06T23:15:00Z"/>
  <w16cex:commentExtensible w16cex:durableId="69166785" w16cex:dateUtc="2026-03-31T22:18:00Z"/>
  <w16cex:commentExtensible w16cex:durableId="55CB045F" w16cex:dateUtc="2026-04-03T02:25:00Z"/>
  <w16cex:commentExtensible w16cex:durableId="188B305E" w16cex:dateUtc="2026-04-06T23:19:00Z"/>
</w16cex:commentsExtensible>
</file>

<file path=word/commentsIds.xml><?xml version="1.0" encoding="utf-8"?>
<w16cid:commentsIds xmlns:mc="http://schemas.openxmlformats.org/markup-compatibility/2006" xmlns:w16cid="http://schemas.microsoft.com/office/word/2016/wordml/cid" mc:Ignorable="w16cid">
  <w16cid:commentId w16cid:paraId="5241F090" w16cid:durableId="627337F0"/>
  <w16cid:commentId w16cid:paraId="511E1DD4" w16cid:durableId="60499445"/>
  <w16cid:commentId w16cid:paraId="6A7801A3" w16cid:durableId="69166785"/>
  <w16cid:commentId w16cid:paraId="6C817FB7" w16cid:durableId="55CB045F"/>
  <w16cid:commentId w16cid:paraId="08562DFA" w16cid:durableId="188B305E"/>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Sans-Serif">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682147"/>
    <w:multiLevelType w:val="multilevel"/>
    <w:tmpl w:val="BDE0B8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17F66FE1"/>
    <w:multiLevelType w:val="hybridMultilevel"/>
    <w:tmpl w:val="9E56B686"/>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 w15:restartNumberingAfterBreak="0">
    <w:nsid w:val="1C2A2446"/>
    <w:multiLevelType w:val="multilevel"/>
    <w:tmpl w:val="94E804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291E1A26"/>
    <w:multiLevelType w:val="multilevel"/>
    <w:tmpl w:val="9D4A93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2E4C49FB"/>
    <w:multiLevelType w:val="multilevel"/>
    <w:tmpl w:val="EB48AF44"/>
    <w:lvl w:ilvl="0">
      <w:start w:val="1"/>
      <w:numFmt w:val="decimal"/>
      <w:lvlText w:val="%1."/>
      <w:lvlJc w:val="left"/>
      <w:pPr>
        <w:tabs>
          <w:tab w:val="num" w:pos="360"/>
        </w:tabs>
        <w:ind w:left="360" w:hanging="360"/>
      </w:pPr>
      <w:rPr>
        <w:rFonts w:hint="default"/>
        <w:sz w:val="20"/>
      </w:rPr>
    </w:lvl>
    <w:lvl w:ilvl="1">
      <w:start w:val="1"/>
      <w:numFmt w:val="decimal"/>
      <w:lvlText w:val="%2."/>
      <w:lvlJc w:val="left"/>
      <w:pPr>
        <w:ind w:left="1080" w:hanging="360"/>
      </w:pPr>
      <w:rPr>
        <w:rFonts w:hint="default"/>
      </w:rPr>
    </w:lvl>
    <w:lvl w:ilvl="2">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5" w15:restartNumberingAfterBreak="0">
    <w:nsid w:val="458A7090"/>
    <w:multiLevelType w:val="multilevel"/>
    <w:tmpl w:val="4E6281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4A4B5F12"/>
    <w:multiLevelType w:val="multilevel"/>
    <w:tmpl w:val="F44815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4DF572F7"/>
    <w:multiLevelType w:val="hybridMultilevel"/>
    <w:tmpl w:val="5C90611A"/>
    <w:lvl w:ilvl="0" w:tplc="BFF0EC3C">
      <w:start w:val="1"/>
      <w:numFmt w:val="bullet"/>
      <w:lvlText w:val="•"/>
      <w:lvlJc w:val="left"/>
      <w:pPr>
        <w:tabs>
          <w:tab w:val="num" w:pos="720"/>
        </w:tabs>
        <w:ind w:left="720" w:hanging="360"/>
      </w:pPr>
      <w:rPr>
        <w:rFonts w:hint="default" w:ascii="Arial,Sans-Serif" w:hAnsi="Arial,Sans-Serif"/>
      </w:rPr>
    </w:lvl>
    <w:lvl w:ilvl="1" w:tplc="44168148">
      <w:start w:val="1"/>
      <w:numFmt w:val="bullet"/>
      <w:lvlText w:val="•"/>
      <w:lvlJc w:val="left"/>
      <w:pPr>
        <w:tabs>
          <w:tab w:val="num" w:pos="1440"/>
        </w:tabs>
        <w:ind w:left="1440" w:hanging="360"/>
      </w:pPr>
      <w:rPr>
        <w:rFonts w:hint="default" w:ascii="Arial,Sans-Serif" w:hAnsi="Arial,Sans-Serif"/>
      </w:rPr>
    </w:lvl>
    <w:lvl w:ilvl="2" w:tplc="149CF896" w:tentative="1">
      <w:start w:val="1"/>
      <w:numFmt w:val="bullet"/>
      <w:lvlText w:val="•"/>
      <w:lvlJc w:val="left"/>
      <w:pPr>
        <w:tabs>
          <w:tab w:val="num" w:pos="2160"/>
        </w:tabs>
        <w:ind w:left="2160" w:hanging="360"/>
      </w:pPr>
      <w:rPr>
        <w:rFonts w:hint="default" w:ascii="Arial,Sans-Serif" w:hAnsi="Arial,Sans-Serif"/>
      </w:rPr>
    </w:lvl>
    <w:lvl w:ilvl="3" w:tplc="599C21AA" w:tentative="1">
      <w:start w:val="1"/>
      <w:numFmt w:val="bullet"/>
      <w:lvlText w:val="•"/>
      <w:lvlJc w:val="left"/>
      <w:pPr>
        <w:tabs>
          <w:tab w:val="num" w:pos="2880"/>
        </w:tabs>
        <w:ind w:left="2880" w:hanging="360"/>
      </w:pPr>
      <w:rPr>
        <w:rFonts w:hint="default" w:ascii="Arial,Sans-Serif" w:hAnsi="Arial,Sans-Serif"/>
      </w:rPr>
    </w:lvl>
    <w:lvl w:ilvl="4" w:tplc="EE18C980" w:tentative="1">
      <w:start w:val="1"/>
      <w:numFmt w:val="bullet"/>
      <w:lvlText w:val="•"/>
      <w:lvlJc w:val="left"/>
      <w:pPr>
        <w:tabs>
          <w:tab w:val="num" w:pos="3600"/>
        </w:tabs>
        <w:ind w:left="3600" w:hanging="360"/>
      </w:pPr>
      <w:rPr>
        <w:rFonts w:hint="default" w:ascii="Arial,Sans-Serif" w:hAnsi="Arial,Sans-Serif"/>
      </w:rPr>
    </w:lvl>
    <w:lvl w:ilvl="5" w:tplc="EB6AE046" w:tentative="1">
      <w:start w:val="1"/>
      <w:numFmt w:val="bullet"/>
      <w:lvlText w:val="•"/>
      <w:lvlJc w:val="left"/>
      <w:pPr>
        <w:tabs>
          <w:tab w:val="num" w:pos="4320"/>
        </w:tabs>
        <w:ind w:left="4320" w:hanging="360"/>
      </w:pPr>
      <w:rPr>
        <w:rFonts w:hint="default" w:ascii="Arial,Sans-Serif" w:hAnsi="Arial,Sans-Serif"/>
      </w:rPr>
    </w:lvl>
    <w:lvl w:ilvl="6" w:tplc="A2FE9B38" w:tentative="1">
      <w:start w:val="1"/>
      <w:numFmt w:val="bullet"/>
      <w:lvlText w:val="•"/>
      <w:lvlJc w:val="left"/>
      <w:pPr>
        <w:tabs>
          <w:tab w:val="num" w:pos="5040"/>
        </w:tabs>
        <w:ind w:left="5040" w:hanging="360"/>
      </w:pPr>
      <w:rPr>
        <w:rFonts w:hint="default" w:ascii="Arial,Sans-Serif" w:hAnsi="Arial,Sans-Serif"/>
      </w:rPr>
    </w:lvl>
    <w:lvl w:ilvl="7" w:tplc="2E50108A" w:tentative="1">
      <w:start w:val="1"/>
      <w:numFmt w:val="bullet"/>
      <w:lvlText w:val="•"/>
      <w:lvlJc w:val="left"/>
      <w:pPr>
        <w:tabs>
          <w:tab w:val="num" w:pos="5760"/>
        </w:tabs>
        <w:ind w:left="5760" w:hanging="360"/>
      </w:pPr>
      <w:rPr>
        <w:rFonts w:hint="default" w:ascii="Arial,Sans-Serif" w:hAnsi="Arial,Sans-Serif"/>
      </w:rPr>
    </w:lvl>
    <w:lvl w:ilvl="8" w:tplc="EA30C06E" w:tentative="1">
      <w:start w:val="1"/>
      <w:numFmt w:val="bullet"/>
      <w:lvlText w:val="•"/>
      <w:lvlJc w:val="left"/>
      <w:pPr>
        <w:tabs>
          <w:tab w:val="num" w:pos="6480"/>
        </w:tabs>
        <w:ind w:left="6480" w:hanging="360"/>
      </w:pPr>
      <w:rPr>
        <w:rFonts w:hint="default" w:ascii="Arial,Sans-Serif" w:hAnsi="Arial,Sans-Serif"/>
      </w:rPr>
    </w:lvl>
  </w:abstractNum>
  <w:abstractNum w:abstractNumId="8" w15:restartNumberingAfterBreak="0">
    <w:nsid w:val="4FC340ED"/>
    <w:multiLevelType w:val="multilevel"/>
    <w:tmpl w:val="0E843FD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57925070"/>
    <w:multiLevelType w:val="multilevel"/>
    <w:tmpl w:val="1AF8DB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5AF4124F"/>
    <w:multiLevelType w:val="hybridMultilevel"/>
    <w:tmpl w:val="337ECFA6"/>
    <w:lvl w:ilvl="0" w:tplc="1409000F">
      <w:start w:val="1"/>
      <w:numFmt w:val="decimal"/>
      <w:lvlText w:val="%1."/>
      <w:lvlJc w:val="left"/>
      <w:pPr>
        <w:ind w:left="720" w:hanging="360"/>
      </w:pPr>
      <w:rPr>
        <w:rFonts w:hint="default"/>
      </w:rPr>
    </w:lvl>
    <w:lvl w:ilvl="1" w:tplc="14090019">
      <w:start w:val="1"/>
      <w:numFmt w:val="lowerLetter"/>
      <w:lvlText w:val="%2."/>
      <w:lvlJc w:val="left"/>
      <w:pPr>
        <w:ind w:left="1440" w:hanging="360"/>
      </w:pPr>
    </w:lvl>
    <w:lvl w:ilvl="2" w:tplc="1409001B">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1" w15:restartNumberingAfterBreak="0">
    <w:nsid w:val="5C7D65AF"/>
    <w:multiLevelType w:val="hybridMultilevel"/>
    <w:tmpl w:val="4B98585E"/>
    <w:lvl w:ilvl="0" w:tplc="8258F7BC">
      <w:start w:val="1"/>
      <w:numFmt w:val="bullet"/>
      <w:lvlText w:val="•"/>
      <w:lvlJc w:val="left"/>
      <w:pPr>
        <w:tabs>
          <w:tab w:val="num" w:pos="720"/>
        </w:tabs>
        <w:ind w:left="720" w:hanging="360"/>
      </w:pPr>
      <w:rPr>
        <w:rFonts w:hint="default" w:ascii="Arial" w:hAnsi="Arial"/>
      </w:rPr>
    </w:lvl>
    <w:lvl w:ilvl="1" w:tplc="8182D888">
      <w:start w:val="1"/>
      <w:numFmt w:val="bullet"/>
      <w:lvlText w:val="•"/>
      <w:lvlJc w:val="left"/>
      <w:pPr>
        <w:tabs>
          <w:tab w:val="num" w:pos="1440"/>
        </w:tabs>
        <w:ind w:left="1440" w:hanging="360"/>
      </w:pPr>
      <w:rPr>
        <w:rFonts w:hint="default" w:ascii="Arial" w:hAnsi="Arial"/>
      </w:rPr>
    </w:lvl>
    <w:lvl w:ilvl="2" w:tplc="8F40F8C8" w:tentative="1">
      <w:start w:val="1"/>
      <w:numFmt w:val="bullet"/>
      <w:lvlText w:val="•"/>
      <w:lvlJc w:val="left"/>
      <w:pPr>
        <w:tabs>
          <w:tab w:val="num" w:pos="2160"/>
        </w:tabs>
        <w:ind w:left="2160" w:hanging="360"/>
      </w:pPr>
      <w:rPr>
        <w:rFonts w:hint="default" w:ascii="Arial" w:hAnsi="Arial"/>
      </w:rPr>
    </w:lvl>
    <w:lvl w:ilvl="3" w:tplc="CAAA9A82" w:tentative="1">
      <w:start w:val="1"/>
      <w:numFmt w:val="bullet"/>
      <w:lvlText w:val="•"/>
      <w:lvlJc w:val="left"/>
      <w:pPr>
        <w:tabs>
          <w:tab w:val="num" w:pos="2880"/>
        </w:tabs>
        <w:ind w:left="2880" w:hanging="360"/>
      </w:pPr>
      <w:rPr>
        <w:rFonts w:hint="default" w:ascii="Arial" w:hAnsi="Arial"/>
      </w:rPr>
    </w:lvl>
    <w:lvl w:ilvl="4" w:tplc="134C90D0" w:tentative="1">
      <w:start w:val="1"/>
      <w:numFmt w:val="bullet"/>
      <w:lvlText w:val="•"/>
      <w:lvlJc w:val="left"/>
      <w:pPr>
        <w:tabs>
          <w:tab w:val="num" w:pos="3600"/>
        </w:tabs>
        <w:ind w:left="3600" w:hanging="360"/>
      </w:pPr>
      <w:rPr>
        <w:rFonts w:hint="default" w:ascii="Arial" w:hAnsi="Arial"/>
      </w:rPr>
    </w:lvl>
    <w:lvl w:ilvl="5" w:tplc="1DE4F594" w:tentative="1">
      <w:start w:val="1"/>
      <w:numFmt w:val="bullet"/>
      <w:lvlText w:val="•"/>
      <w:lvlJc w:val="left"/>
      <w:pPr>
        <w:tabs>
          <w:tab w:val="num" w:pos="4320"/>
        </w:tabs>
        <w:ind w:left="4320" w:hanging="360"/>
      </w:pPr>
      <w:rPr>
        <w:rFonts w:hint="default" w:ascii="Arial" w:hAnsi="Arial"/>
      </w:rPr>
    </w:lvl>
    <w:lvl w:ilvl="6" w:tplc="B28C46D8" w:tentative="1">
      <w:start w:val="1"/>
      <w:numFmt w:val="bullet"/>
      <w:lvlText w:val="•"/>
      <w:lvlJc w:val="left"/>
      <w:pPr>
        <w:tabs>
          <w:tab w:val="num" w:pos="5040"/>
        </w:tabs>
        <w:ind w:left="5040" w:hanging="360"/>
      </w:pPr>
      <w:rPr>
        <w:rFonts w:hint="default" w:ascii="Arial" w:hAnsi="Arial"/>
      </w:rPr>
    </w:lvl>
    <w:lvl w:ilvl="7" w:tplc="61B4A274" w:tentative="1">
      <w:start w:val="1"/>
      <w:numFmt w:val="bullet"/>
      <w:lvlText w:val="•"/>
      <w:lvlJc w:val="left"/>
      <w:pPr>
        <w:tabs>
          <w:tab w:val="num" w:pos="5760"/>
        </w:tabs>
        <w:ind w:left="5760" w:hanging="360"/>
      </w:pPr>
      <w:rPr>
        <w:rFonts w:hint="default" w:ascii="Arial" w:hAnsi="Arial"/>
      </w:rPr>
    </w:lvl>
    <w:lvl w:ilvl="8" w:tplc="C5028AD6" w:tentative="1">
      <w:start w:val="1"/>
      <w:numFmt w:val="bullet"/>
      <w:lvlText w:val="•"/>
      <w:lvlJc w:val="left"/>
      <w:pPr>
        <w:tabs>
          <w:tab w:val="num" w:pos="6480"/>
        </w:tabs>
        <w:ind w:left="6480" w:hanging="360"/>
      </w:pPr>
      <w:rPr>
        <w:rFonts w:hint="default" w:ascii="Arial" w:hAnsi="Arial"/>
      </w:rPr>
    </w:lvl>
  </w:abstractNum>
  <w:abstractNum w:abstractNumId="12" w15:restartNumberingAfterBreak="0">
    <w:nsid w:val="71632D39"/>
    <w:multiLevelType w:val="multilevel"/>
    <w:tmpl w:val="377CE5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74680D8A"/>
    <w:multiLevelType w:val="multilevel"/>
    <w:tmpl w:val="64907C44"/>
    <w:lvl w:ilvl="0">
      <w:start w:val="1"/>
      <w:numFmt w:val="decimal"/>
      <w:lvlText w:val="%1."/>
      <w:lvlJc w:val="left"/>
      <w:pPr>
        <w:tabs>
          <w:tab w:val="num" w:pos="720"/>
        </w:tabs>
        <w:ind w:left="720" w:hanging="360"/>
      </w:pPr>
      <w:rPr>
        <w:rFonts w:hint="default"/>
        <w:sz w:val="20"/>
      </w:rPr>
    </w:lvl>
    <w:lvl w:ilvl="1">
      <w:start w:val="1"/>
      <w:numFmt w:val="bullet"/>
      <w:lvlText w:val=""/>
      <w:lvlJc w:val="left"/>
      <w:pPr>
        <w:ind w:left="1440" w:hanging="360"/>
      </w:pPr>
      <w:rPr>
        <w:rFonts w:hint="default" w:ascii="Symbol" w:hAnsi="Symbol"/>
      </w:rPr>
    </w:lvl>
    <w:lvl w:ilvl="2">
      <w:start w:val="1"/>
      <w:numFmt w:val="bullet"/>
      <w:lvlText w:val=""/>
      <w:lvlJc w:val="left"/>
      <w:pPr>
        <w:tabs>
          <w:tab w:val="num" w:pos="2160"/>
        </w:tabs>
        <w:ind w:left="2160" w:hanging="360"/>
      </w:pPr>
      <w:rPr>
        <w:rFonts w:hint="default" w:ascii="Wingdings" w:hAnsi="Wingdings"/>
        <w:sz w:val="20"/>
      </w:rPr>
    </w:lvl>
    <w:lvl w:ilvl="3">
      <w:numFmt w:val="bullet"/>
      <w:lvlText w:val="•"/>
      <w:lvlJc w:val="left"/>
      <w:pPr>
        <w:ind w:left="3240" w:hanging="720"/>
      </w:pPr>
      <w:rPr>
        <w:rFonts w:hint="default" w:ascii="Calibri" w:hAnsi="Calibri" w:cs="Calibri" w:eastAsiaTheme="minorEastAsia"/>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7F193249"/>
    <w:multiLevelType w:val="multilevel"/>
    <w:tmpl w:val="B358E9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893352599">
    <w:abstractNumId w:val="1"/>
  </w:num>
  <w:num w:numId="2" w16cid:durableId="675809229">
    <w:abstractNumId w:val="10"/>
  </w:num>
  <w:num w:numId="3" w16cid:durableId="1284463898">
    <w:abstractNumId w:val="11"/>
  </w:num>
  <w:num w:numId="4" w16cid:durableId="1799491885">
    <w:abstractNumId w:val="7"/>
  </w:num>
  <w:num w:numId="5" w16cid:durableId="548608162">
    <w:abstractNumId w:val="4"/>
  </w:num>
  <w:num w:numId="6" w16cid:durableId="947270978">
    <w:abstractNumId w:val="13"/>
  </w:num>
  <w:num w:numId="7" w16cid:durableId="17770240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50088940">
    <w:abstractNumId w:val="14"/>
  </w:num>
  <w:num w:numId="9" w16cid:durableId="902105349">
    <w:abstractNumId w:val="5"/>
  </w:num>
  <w:num w:numId="10" w16cid:durableId="1715959780">
    <w:abstractNumId w:val="8"/>
  </w:num>
  <w:num w:numId="11" w16cid:durableId="1772583315">
    <w:abstractNumId w:val="3"/>
  </w:num>
  <w:num w:numId="12" w16cid:durableId="564417176">
    <w:abstractNumId w:val="9"/>
  </w:num>
  <w:num w:numId="13" w16cid:durableId="835345933">
    <w:abstractNumId w:val="6"/>
  </w:num>
  <w:num w:numId="14" w16cid:durableId="1573155750">
    <w:abstractNumId w:val="2"/>
  </w:num>
  <w:num w:numId="15" w16cid:durableId="2095514630">
    <w:abstractNumId w:val="12"/>
  </w:num>
  <w:num w:numId="16" w16cid:durableId="93941246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lysha Chua">
    <w15:presenceInfo w15:providerId="AD" w15:userId="S::Alysha.chua@anagenix.com::ffef5e69-5925-463e-a084-b4766e87c543"/>
  </w15:person>
  <w15:person w15:author="Ping Ong">
    <w15:presenceInfo w15:providerId="AD" w15:userId="S::ongpi181@student.otago.ac.nz::bc043243-0618-4c28-9ed2-4edb49bb12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1C8"/>
    <w:rsid w:val="00024C44"/>
    <w:rsid w:val="00052E84"/>
    <w:rsid w:val="00093BDB"/>
    <w:rsid w:val="000A21DA"/>
    <w:rsid w:val="000B1BCD"/>
    <w:rsid w:val="000B6223"/>
    <w:rsid w:val="000C2467"/>
    <w:rsid w:val="000C508B"/>
    <w:rsid w:val="000E73D1"/>
    <w:rsid w:val="00113F28"/>
    <w:rsid w:val="001164C0"/>
    <w:rsid w:val="00150CDE"/>
    <w:rsid w:val="001772A2"/>
    <w:rsid w:val="00183592"/>
    <w:rsid w:val="00185A79"/>
    <w:rsid w:val="001C0444"/>
    <w:rsid w:val="00205E81"/>
    <w:rsid w:val="00216D96"/>
    <w:rsid w:val="00227433"/>
    <w:rsid w:val="00280D54"/>
    <w:rsid w:val="00293040"/>
    <w:rsid w:val="00294996"/>
    <w:rsid w:val="002A30E3"/>
    <w:rsid w:val="002B671C"/>
    <w:rsid w:val="002F1810"/>
    <w:rsid w:val="0033085A"/>
    <w:rsid w:val="00374E41"/>
    <w:rsid w:val="003B484A"/>
    <w:rsid w:val="003D3165"/>
    <w:rsid w:val="003F2A28"/>
    <w:rsid w:val="00442F05"/>
    <w:rsid w:val="004907EF"/>
    <w:rsid w:val="004B2114"/>
    <w:rsid w:val="004E34C6"/>
    <w:rsid w:val="00511EB5"/>
    <w:rsid w:val="005152E0"/>
    <w:rsid w:val="005642F7"/>
    <w:rsid w:val="00574692"/>
    <w:rsid w:val="00574827"/>
    <w:rsid w:val="005B12B0"/>
    <w:rsid w:val="006048DE"/>
    <w:rsid w:val="006114A4"/>
    <w:rsid w:val="00622941"/>
    <w:rsid w:val="006921C8"/>
    <w:rsid w:val="006D444D"/>
    <w:rsid w:val="006F21B4"/>
    <w:rsid w:val="0070389E"/>
    <w:rsid w:val="00706302"/>
    <w:rsid w:val="007358E3"/>
    <w:rsid w:val="00742840"/>
    <w:rsid w:val="00747E27"/>
    <w:rsid w:val="00754BA7"/>
    <w:rsid w:val="00775678"/>
    <w:rsid w:val="007977DE"/>
    <w:rsid w:val="00822289"/>
    <w:rsid w:val="00825AFE"/>
    <w:rsid w:val="00825E3E"/>
    <w:rsid w:val="00862F73"/>
    <w:rsid w:val="00880810"/>
    <w:rsid w:val="008A5155"/>
    <w:rsid w:val="008B420D"/>
    <w:rsid w:val="008F7D5E"/>
    <w:rsid w:val="009352E7"/>
    <w:rsid w:val="00953239"/>
    <w:rsid w:val="00984777"/>
    <w:rsid w:val="009B7877"/>
    <w:rsid w:val="00A031AF"/>
    <w:rsid w:val="00A06521"/>
    <w:rsid w:val="00A11913"/>
    <w:rsid w:val="00A14F5E"/>
    <w:rsid w:val="00A206DF"/>
    <w:rsid w:val="00A30F9C"/>
    <w:rsid w:val="00A52093"/>
    <w:rsid w:val="00A70549"/>
    <w:rsid w:val="00AE16BA"/>
    <w:rsid w:val="00B01DC8"/>
    <w:rsid w:val="00B31CA5"/>
    <w:rsid w:val="00B4052D"/>
    <w:rsid w:val="00B4681A"/>
    <w:rsid w:val="00BA26F3"/>
    <w:rsid w:val="00BE75AC"/>
    <w:rsid w:val="00BF3109"/>
    <w:rsid w:val="00C67745"/>
    <w:rsid w:val="00C776BE"/>
    <w:rsid w:val="00C85554"/>
    <w:rsid w:val="00C93F3A"/>
    <w:rsid w:val="00CC11BF"/>
    <w:rsid w:val="00D36520"/>
    <w:rsid w:val="00DB4DC8"/>
    <w:rsid w:val="00DD433C"/>
    <w:rsid w:val="00DF1977"/>
    <w:rsid w:val="00E27A3C"/>
    <w:rsid w:val="00E4713E"/>
    <w:rsid w:val="00E95B86"/>
    <w:rsid w:val="00EB745D"/>
    <w:rsid w:val="00F3595C"/>
    <w:rsid w:val="00F94874"/>
    <w:rsid w:val="00FB7CD0"/>
    <w:rsid w:val="00FC1404"/>
    <w:rsid w:val="00FD5B02"/>
    <w:rsid w:val="01388B93"/>
    <w:rsid w:val="0363CDFC"/>
    <w:rsid w:val="049798D9"/>
    <w:rsid w:val="0CD7B239"/>
    <w:rsid w:val="0CF9F517"/>
    <w:rsid w:val="126A41C4"/>
    <w:rsid w:val="1555AE27"/>
    <w:rsid w:val="1A31D824"/>
    <w:rsid w:val="1A35422F"/>
    <w:rsid w:val="1A4682A8"/>
    <w:rsid w:val="1F0F422B"/>
    <w:rsid w:val="1F55CB19"/>
    <w:rsid w:val="2A29863F"/>
    <w:rsid w:val="2C4E2C77"/>
    <w:rsid w:val="2F63EFB1"/>
    <w:rsid w:val="30097695"/>
    <w:rsid w:val="31FD789A"/>
    <w:rsid w:val="34D34654"/>
    <w:rsid w:val="3C393CEA"/>
    <w:rsid w:val="42EC9CE3"/>
    <w:rsid w:val="44D0A9E8"/>
    <w:rsid w:val="4A8CEA24"/>
    <w:rsid w:val="4BF72D56"/>
    <w:rsid w:val="4D48F5AB"/>
    <w:rsid w:val="514AC050"/>
    <w:rsid w:val="526EE705"/>
    <w:rsid w:val="55BB7288"/>
    <w:rsid w:val="56A4E9E8"/>
    <w:rsid w:val="57ED36A3"/>
    <w:rsid w:val="5A7C7EB2"/>
    <w:rsid w:val="6128D8F9"/>
    <w:rsid w:val="6496D9C3"/>
    <w:rsid w:val="67F481ED"/>
    <w:rsid w:val="6B7764C4"/>
    <w:rsid w:val="6EEE0ACC"/>
    <w:rsid w:val="708D29C2"/>
    <w:rsid w:val="7261023B"/>
    <w:rsid w:val="73647285"/>
    <w:rsid w:val="7E877639"/>
  </w:rsids>
  <m:mathPr>
    <m:mathFont m:val="Cambria Math"/>
    <m:brkBin m:val="before"/>
    <m:brkBinSub m:val="--"/>
    <m:smallFrac m:val="0"/>
    <m:dispDef/>
    <m:lMargin m:val="0"/>
    <m:rMargin m:val="0"/>
    <m:defJc m:val="centerGroup"/>
    <m:wrapIndent m:val="1440"/>
    <m:intLim m:val="subSup"/>
    <m:naryLim m:val="undOvr"/>
  </m:mathPr>
  <w:themeFontLang w:val="en-NZ"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12735"/>
  <w15:chartTrackingRefBased/>
  <w15:docId w15:val="{68F59158-27E2-481B-BA5D-68DBF5595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6921C8"/>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921C8"/>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921C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6921C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921C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921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21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21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21C8"/>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921C8"/>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6921C8"/>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6921C8"/>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6921C8"/>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6921C8"/>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6921C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6921C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6921C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6921C8"/>
    <w:rPr>
      <w:rFonts w:eastAsiaTheme="majorEastAsia" w:cstheme="majorBidi"/>
      <w:color w:val="272727" w:themeColor="text1" w:themeTint="D8"/>
    </w:rPr>
  </w:style>
  <w:style w:type="paragraph" w:styleId="Title">
    <w:name w:val="Title"/>
    <w:basedOn w:val="Normal"/>
    <w:next w:val="Normal"/>
    <w:link w:val="TitleChar"/>
    <w:uiPriority w:val="10"/>
    <w:qFormat/>
    <w:rsid w:val="006921C8"/>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6921C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6921C8"/>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6921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21C8"/>
    <w:pPr>
      <w:spacing w:before="160"/>
      <w:jc w:val="center"/>
    </w:pPr>
    <w:rPr>
      <w:i/>
      <w:iCs/>
      <w:color w:val="404040" w:themeColor="text1" w:themeTint="BF"/>
    </w:rPr>
  </w:style>
  <w:style w:type="character" w:styleId="QuoteChar" w:customStyle="1">
    <w:name w:val="Quote Char"/>
    <w:basedOn w:val="DefaultParagraphFont"/>
    <w:link w:val="Quote"/>
    <w:uiPriority w:val="29"/>
    <w:rsid w:val="006921C8"/>
    <w:rPr>
      <w:i/>
      <w:iCs/>
      <w:color w:val="404040" w:themeColor="text1" w:themeTint="BF"/>
    </w:rPr>
  </w:style>
  <w:style w:type="paragraph" w:styleId="ListParagraph">
    <w:name w:val="List Paragraph"/>
    <w:basedOn w:val="Normal"/>
    <w:uiPriority w:val="34"/>
    <w:qFormat/>
    <w:rsid w:val="006921C8"/>
    <w:pPr>
      <w:ind w:left="720"/>
      <w:contextualSpacing/>
    </w:pPr>
  </w:style>
  <w:style w:type="character" w:styleId="IntenseEmphasis">
    <w:name w:val="Intense Emphasis"/>
    <w:basedOn w:val="DefaultParagraphFont"/>
    <w:uiPriority w:val="21"/>
    <w:qFormat/>
    <w:rsid w:val="006921C8"/>
    <w:rPr>
      <w:i/>
      <w:iCs/>
      <w:color w:val="2F5496" w:themeColor="accent1" w:themeShade="BF"/>
    </w:rPr>
  </w:style>
  <w:style w:type="paragraph" w:styleId="IntenseQuote">
    <w:name w:val="Intense Quote"/>
    <w:basedOn w:val="Normal"/>
    <w:next w:val="Normal"/>
    <w:link w:val="IntenseQuoteChar"/>
    <w:uiPriority w:val="30"/>
    <w:qFormat/>
    <w:rsid w:val="006921C8"/>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6921C8"/>
    <w:rPr>
      <w:i/>
      <w:iCs/>
      <w:color w:val="2F5496" w:themeColor="accent1" w:themeShade="BF"/>
    </w:rPr>
  </w:style>
  <w:style w:type="character" w:styleId="IntenseReference">
    <w:name w:val="Intense Reference"/>
    <w:basedOn w:val="DefaultParagraphFont"/>
    <w:uiPriority w:val="32"/>
    <w:qFormat/>
    <w:rsid w:val="006921C8"/>
    <w:rPr>
      <w:b/>
      <w:bCs/>
      <w:smallCaps/>
      <w:color w:val="2F5496" w:themeColor="accent1" w:themeShade="BF"/>
      <w:spacing w:val="5"/>
    </w:rPr>
  </w:style>
  <w:style w:type="paragraph" w:styleId="NormalWeb">
    <w:name w:val="Normal (Web)"/>
    <w:basedOn w:val="Normal"/>
    <w:uiPriority w:val="99"/>
    <w:semiHidden/>
    <w:unhideWhenUsed/>
    <w:rsid w:val="00294996"/>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2F1810"/>
    <w:rPr>
      <w:sz w:val="16"/>
      <w:szCs w:val="16"/>
    </w:rPr>
  </w:style>
  <w:style w:type="paragraph" w:styleId="CommentText">
    <w:name w:val="annotation text"/>
    <w:basedOn w:val="Normal"/>
    <w:link w:val="CommentTextChar"/>
    <w:uiPriority w:val="99"/>
    <w:unhideWhenUsed/>
    <w:rsid w:val="002F1810"/>
    <w:pPr>
      <w:spacing w:line="240" w:lineRule="auto"/>
    </w:pPr>
    <w:rPr>
      <w:sz w:val="20"/>
      <w:szCs w:val="20"/>
    </w:rPr>
  </w:style>
  <w:style w:type="character" w:styleId="CommentTextChar" w:customStyle="1">
    <w:name w:val="Comment Text Char"/>
    <w:basedOn w:val="DefaultParagraphFont"/>
    <w:link w:val="CommentText"/>
    <w:uiPriority w:val="99"/>
    <w:rsid w:val="002F1810"/>
    <w:rPr>
      <w:sz w:val="20"/>
      <w:szCs w:val="20"/>
    </w:rPr>
  </w:style>
  <w:style w:type="paragraph" w:styleId="CommentSubject">
    <w:name w:val="annotation subject"/>
    <w:basedOn w:val="CommentText"/>
    <w:next w:val="CommentText"/>
    <w:link w:val="CommentSubjectChar"/>
    <w:uiPriority w:val="99"/>
    <w:semiHidden/>
    <w:unhideWhenUsed/>
    <w:rsid w:val="002F1810"/>
    <w:rPr>
      <w:b/>
      <w:bCs/>
    </w:rPr>
  </w:style>
  <w:style w:type="character" w:styleId="CommentSubjectChar" w:customStyle="1">
    <w:name w:val="Comment Subject Char"/>
    <w:basedOn w:val="CommentTextChar"/>
    <w:link w:val="CommentSubject"/>
    <w:uiPriority w:val="99"/>
    <w:semiHidden/>
    <w:rsid w:val="002F1810"/>
    <w:rPr>
      <w:b/>
      <w:bCs/>
      <w:sz w:val="20"/>
      <w:szCs w:val="20"/>
    </w:rPr>
  </w:style>
  <w:style w:type="paragraph" w:styleId="Revision">
    <w:name w:val="Revision"/>
    <w:hidden/>
    <w:uiPriority w:val="99"/>
    <w:semiHidden/>
    <w:rsid w:val="008F7D5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95330">
      <w:bodyDiv w:val="1"/>
      <w:marLeft w:val="0"/>
      <w:marRight w:val="0"/>
      <w:marTop w:val="0"/>
      <w:marBottom w:val="0"/>
      <w:divBdr>
        <w:top w:val="none" w:sz="0" w:space="0" w:color="auto"/>
        <w:left w:val="none" w:sz="0" w:space="0" w:color="auto"/>
        <w:bottom w:val="none" w:sz="0" w:space="0" w:color="auto"/>
        <w:right w:val="none" w:sz="0" w:space="0" w:color="auto"/>
      </w:divBdr>
    </w:div>
    <w:div w:id="278222839">
      <w:bodyDiv w:val="1"/>
      <w:marLeft w:val="0"/>
      <w:marRight w:val="0"/>
      <w:marTop w:val="0"/>
      <w:marBottom w:val="0"/>
      <w:divBdr>
        <w:top w:val="none" w:sz="0" w:space="0" w:color="auto"/>
        <w:left w:val="none" w:sz="0" w:space="0" w:color="auto"/>
        <w:bottom w:val="none" w:sz="0" w:space="0" w:color="auto"/>
        <w:right w:val="none" w:sz="0" w:space="0" w:color="auto"/>
      </w:divBdr>
    </w:div>
    <w:div w:id="300117616">
      <w:bodyDiv w:val="1"/>
      <w:marLeft w:val="0"/>
      <w:marRight w:val="0"/>
      <w:marTop w:val="0"/>
      <w:marBottom w:val="0"/>
      <w:divBdr>
        <w:top w:val="none" w:sz="0" w:space="0" w:color="auto"/>
        <w:left w:val="none" w:sz="0" w:space="0" w:color="auto"/>
        <w:bottom w:val="none" w:sz="0" w:space="0" w:color="auto"/>
        <w:right w:val="none" w:sz="0" w:space="0" w:color="auto"/>
      </w:divBdr>
    </w:div>
    <w:div w:id="583994588">
      <w:bodyDiv w:val="1"/>
      <w:marLeft w:val="0"/>
      <w:marRight w:val="0"/>
      <w:marTop w:val="0"/>
      <w:marBottom w:val="0"/>
      <w:divBdr>
        <w:top w:val="none" w:sz="0" w:space="0" w:color="auto"/>
        <w:left w:val="none" w:sz="0" w:space="0" w:color="auto"/>
        <w:bottom w:val="none" w:sz="0" w:space="0" w:color="auto"/>
        <w:right w:val="none" w:sz="0" w:space="0" w:color="auto"/>
      </w:divBdr>
      <w:divsChild>
        <w:div w:id="16203521">
          <w:marLeft w:val="605"/>
          <w:marRight w:val="0"/>
          <w:marTop w:val="0"/>
          <w:marBottom w:val="0"/>
          <w:divBdr>
            <w:top w:val="none" w:sz="0" w:space="0" w:color="auto"/>
            <w:left w:val="none" w:sz="0" w:space="0" w:color="auto"/>
            <w:bottom w:val="none" w:sz="0" w:space="0" w:color="auto"/>
            <w:right w:val="none" w:sz="0" w:space="0" w:color="auto"/>
          </w:divBdr>
        </w:div>
        <w:div w:id="603727551">
          <w:marLeft w:val="605"/>
          <w:marRight w:val="0"/>
          <w:marTop w:val="0"/>
          <w:marBottom w:val="0"/>
          <w:divBdr>
            <w:top w:val="none" w:sz="0" w:space="0" w:color="auto"/>
            <w:left w:val="none" w:sz="0" w:space="0" w:color="auto"/>
            <w:bottom w:val="none" w:sz="0" w:space="0" w:color="auto"/>
            <w:right w:val="none" w:sz="0" w:space="0" w:color="auto"/>
          </w:divBdr>
        </w:div>
        <w:div w:id="1055659794">
          <w:marLeft w:val="605"/>
          <w:marRight w:val="0"/>
          <w:marTop w:val="0"/>
          <w:marBottom w:val="0"/>
          <w:divBdr>
            <w:top w:val="none" w:sz="0" w:space="0" w:color="auto"/>
            <w:left w:val="none" w:sz="0" w:space="0" w:color="auto"/>
            <w:bottom w:val="none" w:sz="0" w:space="0" w:color="auto"/>
            <w:right w:val="none" w:sz="0" w:space="0" w:color="auto"/>
          </w:divBdr>
        </w:div>
      </w:divsChild>
    </w:div>
    <w:div w:id="836192637">
      <w:bodyDiv w:val="1"/>
      <w:marLeft w:val="0"/>
      <w:marRight w:val="0"/>
      <w:marTop w:val="0"/>
      <w:marBottom w:val="0"/>
      <w:divBdr>
        <w:top w:val="none" w:sz="0" w:space="0" w:color="auto"/>
        <w:left w:val="none" w:sz="0" w:space="0" w:color="auto"/>
        <w:bottom w:val="none" w:sz="0" w:space="0" w:color="auto"/>
        <w:right w:val="none" w:sz="0" w:space="0" w:color="auto"/>
      </w:divBdr>
    </w:div>
    <w:div w:id="1181821127">
      <w:bodyDiv w:val="1"/>
      <w:marLeft w:val="0"/>
      <w:marRight w:val="0"/>
      <w:marTop w:val="0"/>
      <w:marBottom w:val="0"/>
      <w:divBdr>
        <w:top w:val="none" w:sz="0" w:space="0" w:color="auto"/>
        <w:left w:val="none" w:sz="0" w:space="0" w:color="auto"/>
        <w:bottom w:val="none" w:sz="0" w:space="0" w:color="auto"/>
        <w:right w:val="none" w:sz="0" w:space="0" w:color="auto"/>
      </w:divBdr>
      <w:divsChild>
        <w:div w:id="559555134">
          <w:marLeft w:val="230"/>
          <w:marRight w:val="0"/>
          <w:marTop w:val="0"/>
          <w:marBottom w:val="0"/>
          <w:divBdr>
            <w:top w:val="none" w:sz="0" w:space="0" w:color="auto"/>
            <w:left w:val="none" w:sz="0" w:space="0" w:color="auto"/>
            <w:bottom w:val="none" w:sz="0" w:space="0" w:color="auto"/>
            <w:right w:val="none" w:sz="0" w:space="0" w:color="auto"/>
          </w:divBdr>
        </w:div>
        <w:div w:id="711197511">
          <w:marLeft w:val="230"/>
          <w:marRight w:val="0"/>
          <w:marTop w:val="0"/>
          <w:marBottom w:val="0"/>
          <w:divBdr>
            <w:top w:val="none" w:sz="0" w:space="0" w:color="auto"/>
            <w:left w:val="none" w:sz="0" w:space="0" w:color="auto"/>
            <w:bottom w:val="none" w:sz="0" w:space="0" w:color="auto"/>
            <w:right w:val="none" w:sz="0" w:space="0" w:color="auto"/>
          </w:divBdr>
        </w:div>
        <w:div w:id="962275386">
          <w:marLeft w:val="230"/>
          <w:marRight w:val="0"/>
          <w:marTop w:val="0"/>
          <w:marBottom w:val="0"/>
          <w:divBdr>
            <w:top w:val="none" w:sz="0" w:space="0" w:color="auto"/>
            <w:left w:val="none" w:sz="0" w:space="0" w:color="auto"/>
            <w:bottom w:val="none" w:sz="0" w:space="0" w:color="auto"/>
            <w:right w:val="none" w:sz="0" w:space="0" w:color="auto"/>
          </w:divBdr>
        </w:div>
      </w:divsChild>
    </w:div>
    <w:div w:id="1277103804">
      <w:bodyDiv w:val="1"/>
      <w:marLeft w:val="0"/>
      <w:marRight w:val="0"/>
      <w:marTop w:val="0"/>
      <w:marBottom w:val="0"/>
      <w:divBdr>
        <w:top w:val="none" w:sz="0" w:space="0" w:color="auto"/>
        <w:left w:val="none" w:sz="0" w:space="0" w:color="auto"/>
        <w:bottom w:val="none" w:sz="0" w:space="0" w:color="auto"/>
        <w:right w:val="none" w:sz="0" w:space="0" w:color="auto"/>
      </w:divBdr>
      <w:divsChild>
        <w:div w:id="528379360">
          <w:marLeft w:val="605"/>
          <w:marRight w:val="0"/>
          <w:marTop w:val="0"/>
          <w:marBottom w:val="0"/>
          <w:divBdr>
            <w:top w:val="none" w:sz="0" w:space="0" w:color="auto"/>
            <w:left w:val="none" w:sz="0" w:space="0" w:color="auto"/>
            <w:bottom w:val="none" w:sz="0" w:space="0" w:color="auto"/>
            <w:right w:val="none" w:sz="0" w:space="0" w:color="auto"/>
          </w:divBdr>
        </w:div>
        <w:div w:id="735473373">
          <w:marLeft w:val="605"/>
          <w:marRight w:val="0"/>
          <w:marTop w:val="0"/>
          <w:marBottom w:val="0"/>
          <w:divBdr>
            <w:top w:val="none" w:sz="0" w:space="0" w:color="auto"/>
            <w:left w:val="none" w:sz="0" w:space="0" w:color="auto"/>
            <w:bottom w:val="none" w:sz="0" w:space="0" w:color="auto"/>
            <w:right w:val="none" w:sz="0" w:space="0" w:color="auto"/>
          </w:divBdr>
        </w:div>
        <w:div w:id="1868828248">
          <w:marLeft w:val="60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microsoft.com/office/2018/08/relationships/commentsExtensible" Target="commentsExtensi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microsoft.com/office/2016/09/relationships/commentsIds" Target="commentsIds.xml" Id="rId11" /><Relationship Type="http://schemas.openxmlformats.org/officeDocument/2006/relationships/numbering" Target="numbering.xml" Id="rId5" /><Relationship Type="http://schemas.openxmlformats.org/officeDocument/2006/relationships/theme" Target="theme/theme1.xml" Id="rId15" /><Relationship Type="http://schemas.microsoft.com/office/2011/relationships/commentsExtended" Target="commentsExtended.xml" Id="rId10" /><Relationship Type="http://schemas.openxmlformats.org/officeDocument/2006/relationships/customXml" Target="../customXml/item4.xml" Id="rId4" /><Relationship Type="http://schemas.openxmlformats.org/officeDocument/2006/relationships/comments" Target="comments.xml" Id="rId9" /><Relationship Type="http://schemas.microsoft.com/office/2011/relationships/people" Target="people.xml" Id="rId14" /><Relationship Type="http://schemas.openxmlformats.org/officeDocument/2006/relationships/image" Target="/media/image.png" Id="rId43853515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a812dac-9ec4-478f-bd0c-e0efe8ac70ac" xsi:nil="true"/>
    <lcf76f155ced4ddcb4097134ff3c332f xmlns="1f1e143d-bbb8-4112-8fd7-d45d45b4752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3F1D0A084B83B4AB2C9A1E43DB2ED34" ma:contentTypeVersion="18" ma:contentTypeDescription="Create a new document." ma:contentTypeScope="" ma:versionID="f8ea24f66ceef5e11b8d9d101f0da335">
  <xsd:schema xmlns:xsd="http://www.w3.org/2001/XMLSchema" xmlns:xs="http://www.w3.org/2001/XMLSchema" xmlns:p="http://schemas.microsoft.com/office/2006/metadata/properties" xmlns:ns2="1f1e143d-bbb8-4112-8fd7-d45d45b47523" xmlns:ns3="ca812dac-9ec4-478f-bd0c-e0efe8ac70ac" targetNamespace="http://schemas.microsoft.com/office/2006/metadata/properties" ma:root="true" ma:fieldsID="9078917db44f9ca950001cd88af7e13e" ns2:_="" ns3:_="">
    <xsd:import namespace="1f1e143d-bbb8-4112-8fd7-d45d45b47523"/>
    <xsd:import namespace="ca812dac-9ec4-478f-bd0c-e0efe8ac70a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1e143d-bbb8-4112-8fd7-d45d45b475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9a633c0-40b6-4ba4-ac49-1ebd81acd3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a812dac-9ec4-478f-bd0c-e0efe8ac70ac"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0121323-20d5-4a8f-ac43-b28bf031c08d}" ma:internalName="TaxCatchAll" ma:showField="CatchAllData" ma:web="ca812dac-9ec4-478f-bd0c-e0efe8ac70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Ram09</b:Tag>
    <b:SourceType>JournalArticle</b:SourceType>
    <b:Guid>{BA4D3C31-F96A-46FA-9AA2-4136135632B5}</b:Guid>
    <b:Title>Effect of inulin on the human gut microbiota: stimulation of Bifidobacterium adolescentis and Faecalibacterium prausnitzii</b:Title>
    <b:Year>2009</b:Year>
    <b:JournalName>British Journal of Nutrition</b:JournalName>
    <b:Pages>101: 541-550</b:Pages>
    <b:Author>
      <b:Author>
        <b:NameList>
          <b:Person>
            <b:Last>Ramirez-Farias</b:Last>
            <b:First>C</b:First>
          </b:Person>
          <b:Person>
            <b:Last>Slezak</b:Last>
            <b:First>K</b:First>
          </b:Person>
          <b:Person>
            <b:Last>Fuller</b:Last>
            <b:First>Z</b:First>
          </b:Person>
          <b:Person>
            <b:Last>Duncan</b:Last>
            <b:First>A</b:First>
          </b:Person>
          <b:Person>
            <b:Last>Holtrop</b:Last>
            <b:First>G</b:First>
          </b:Person>
          <b:Person>
            <b:Last>Louis</b:Last>
            <b:First>P</b:First>
          </b:Person>
        </b:NameList>
      </b:Author>
    </b:Author>
    <b:RefOrder>1</b:RefOrder>
  </b:Source>
</b:Sources>
</file>

<file path=customXml/itemProps1.xml><?xml version="1.0" encoding="utf-8"?>
<ds:datastoreItem xmlns:ds="http://schemas.openxmlformats.org/officeDocument/2006/customXml" ds:itemID="{446D1DBB-F898-4261-8400-5F248F0C04B1}">
  <ds:schemaRefs>
    <ds:schemaRef ds:uri="http://schemas.microsoft.com/sharepoint/v3/contenttype/forms"/>
  </ds:schemaRefs>
</ds:datastoreItem>
</file>

<file path=customXml/itemProps2.xml><?xml version="1.0" encoding="utf-8"?>
<ds:datastoreItem xmlns:ds="http://schemas.openxmlformats.org/officeDocument/2006/customXml" ds:itemID="{6742E640-B291-441A-BF6F-13A268AEC552}">
  <ds:schemaRefs>
    <ds:schemaRef ds:uri="http://schemas.microsoft.com/office/2006/metadata/properties"/>
    <ds:schemaRef ds:uri="http://schemas.microsoft.com/office/infopath/2007/PartnerControls"/>
    <ds:schemaRef ds:uri="42ccc686-ae73-4653-a629-ca12b85346c1"/>
    <ds:schemaRef ds:uri="ca812dac-9ec4-478f-bd0c-e0efe8ac70ac"/>
  </ds:schemaRefs>
</ds:datastoreItem>
</file>

<file path=customXml/itemProps3.xml><?xml version="1.0" encoding="utf-8"?>
<ds:datastoreItem xmlns:ds="http://schemas.openxmlformats.org/officeDocument/2006/customXml" ds:itemID="{F8709082-37DA-4D5D-9366-46D60F00CBA2}"/>
</file>

<file path=customXml/itemProps4.xml><?xml version="1.0" encoding="utf-8"?>
<ds:datastoreItem xmlns:ds="http://schemas.openxmlformats.org/officeDocument/2006/customXml" ds:itemID="{346A2C41-041A-4BAA-9821-0A3D982BCE0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Phillipa Thompson</dc:creator>
  <cp:keywords/>
  <dc:description/>
  <cp:lastModifiedBy>Ping Ong</cp:lastModifiedBy>
  <cp:revision>49</cp:revision>
  <dcterms:created xsi:type="dcterms:W3CDTF">2026-03-25T17:01:00Z</dcterms:created>
  <dcterms:modified xsi:type="dcterms:W3CDTF">2026-04-29T03:11:46Z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0x010100E3F1D0A084B83B4AB2C9A1E43DB2ED34</vt:lpwstr>
  </property>
  <property fmtid="{D5CDD505-2E9C-101B-9397-08002B2CF9AE}" pid="3" name="MediaServiceImageTags">
    <vt:lpwstr/>
  </property>
</Properties>
</file>